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2EFCA" w14:textId="1CCA7020" w:rsidR="00283D42" w:rsidRDefault="00283D42">
      <w:pPr>
        <w:jc w:val="center"/>
        <w:rPr>
          <w:rFonts w:ascii="Arial" w:eastAsia="Arial" w:hAnsi="Arial" w:cs="Arial"/>
          <w:b/>
          <w:bCs/>
          <w:sz w:val="22"/>
          <w:szCs w:val="22"/>
        </w:rPr>
      </w:pPr>
    </w:p>
    <w:p w14:paraId="41CA6A6E" w14:textId="4513DC6D" w:rsidR="006E37D6" w:rsidRPr="00562BE3" w:rsidRDefault="00EC14B6" w:rsidP="002A6714">
      <w:pPr>
        <w:jc w:val="center"/>
        <w:rPr>
          <w:rFonts w:ascii="Arial" w:hAnsi="Arial"/>
          <w:b/>
          <w:bCs/>
          <w:color w:val="auto"/>
          <w:sz w:val="22"/>
          <w:szCs w:val="22"/>
        </w:rPr>
      </w:pPr>
      <w:r w:rsidRPr="00562BE3">
        <w:rPr>
          <w:rFonts w:ascii="Arial" w:hAnsi="Arial"/>
          <w:b/>
          <w:bCs/>
          <w:color w:val="auto"/>
          <w:sz w:val="22"/>
          <w:szCs w:val="22"/>
        </w:rPr>
        <w:t xml:space="preserve">Norwegian Cruise Line Holdings Reports </w:t>
      </w:r>
      <w:r w:rsidR="0020114E" w:rsidRPr="00562BE3">
        <w:rPr>
          <w:rFonts w:ascii="Arial" w:hAnsi="Arial"/>
          <w:b/>
          <w:bCs/>
          <w:color w:val="auto"/>
          <w:sz w:val="22"/>
          <w:szCs w:val="22"/>
        </w:rPr>
        <w:t xml:space="preserve">Fourth </w:t>
      </w:r>
      <w:r w:rsidR="00E70A00" w:rsidRPr="00562BE3">
        <w:rPr>
          <w:rFonts w:ascii="Arial" w:hAnsi="Arial"/>
          <w:b/>
          <w:bCs/>
          <w:color w:val="auto"/>
          <w:sz w:val="22"/>
          <w:szCs w:val="22"/>
        </w:rPr>
        <w:t>Quarter</w:t>
      </w:r>
      <w:r w:rsidR="0020114E" w:rsidRPr="00562BE3">
        <w:rPr>
          <w:rFonts w:ascii="Arial" w:hAnsi="Arial"/>
          <w:b/>
          <w:bCs/>
          <w:color w:val="auto"/>
          <w:sz w:val="22"/>
          <w:szCs w:val="22"/>
        </w:rPr>
        <w:t xml:space="preserve"> and Full Year</w:t>
      </w:r>
      <w:r w:rsidR="00E720BE" w:rsidRPr="00562BE3">
        <w:rPr>
          <w:rFonts w:ascii="Arial" w:hAnsi="Arial"/>
          <w:b/>
          <w:bCs/>
          <w:color w:val="auto"/>
          <w:sz w:val="22"/>
          <w:szCs w:val="22"/>
        </w:rPr>
        <w:t xml:space="preserve"> 202</w:t>
      </w:r>
      <w:r w:rsidR="00C62CDF" w:rsidRPr="00562BE3">
        <w:rPr>
          <w:rFonts w:ascii="Arial" w:hAnsi="Arial"/>
          <w:b/>
          <w:bCs/>
          <w:color w:val="auto"/>
          <w:sz w:val="22"/>
          <w:szCs w:val="22"/>
        </w:rPr>
        <w:t>1</w:t>
      </w:r>
      <w:r w:rsidR="003B421D" w:rsidRPr="00562BE3">
        <w:rPr>
          <w:rFonts w:ascii="Arial" w:hAnsi="Arial"/>
          <w:b/>
          <w:bCs/>
          <w:color w:val="auto"/>
          <w:sz w:val="22"/>
          <w:szCs w:val="22"/>
        </w:rPr>
        <w:t xml:space="preserve"> </w:t>
      </w:r>
      <w:r w:rsidR="006A1306" w:rsidRPr="00562BE3">
        <w:rPr>
          <w:rFonts w:ascii="Arial" w:hAnsi="Arial"/>
          <w:b/>
          <w:bCs/>
          <w:color w:val="auto"/>
          <w:sz w:val="22"/>
          <w:szCs w:val="22"/>
        </w:rPr>
        <w:t xml:space="preserve">Financial Results </w:t>
      </w:r>
      <w:r w:rsidR="00EE0F28" w:rsidRPr="00562BE3">
        <w:rPr>
          <w:rFonts w:ascii="Arial" w:hAnsi="Arial"/>
          <w:b/>
          <w:bCs/>
          <w:color w:val="auto"/>
          <w:sz w:val="22"/>
          <w:szCs w:val="22"/>
        </w:rPr>
        <w:t>and Provides Business Update</w:t>
      </w:r>
    </w:p>
    <w:p w14:paraId="35FC5ECA" w14:textId="4BE15DD1" w:rsidR="00774858" w:rsidRPr="00562BE3" w:rsidRDefault="00774858" w:rsidP="002A6714">
      <w:pPr>
        <w:jc w:val="center"/>
        <w:rPr>
          <w:rFonts w:ascii="Arial" w:hAnsi="Arial"/>
          <w:b/>
          <w:bCs/>
          <w:color w:val="auto"/>
          <w:sz w:val="22"/>
          <w:szCs w:val="22"/>
        </w:rPr>
      </w:pPr>
    </w:p>
    <w:p w14:paraId="72E16432" w14:textId="660F2D10" w:rsidR="00A25797" w:rsidRPr="00562BE3" w:rsidRDefault="007C2263" w:rsidP="00755DA7">
      <w:pPr>
        <w:jc w:val="center"/>
        <w:rPr>
          <w:rFonts w:ascii="Arial" w:hAnsi="Arial"/>
          <w:i/>
          <w:iCs/>
          <w:color w:val="auto"/>
          <w:sz w:val="22"/>
          <w:szCs w:val="22"/>
        </w:rPr>
      </w:pPr>
      <w:r w:rsidRPr="00562BE3">
        <w:rPr>
          <w:rFonts w:ascii="Arial" w:hAnsi="Arial"/>
          <w:i/>
          <w:iCs/>
          <w:color w:val="auto"/>
          <w:sz w:val="22"/>
          <w:szCs w:val="22"/>
        </w:rPr>
        <w:t xml:space="preserve">Company’s </w:t>
      </w:r>
      <w:r w:rsidR="00774858" w:rsidRPr="00562BE3">
        <w:rPr>
          <w:rFonts w:ascii="Arial" w:hAnsi="Arial"/>
          <w:i/>
          <w:iCs/>
          <w:color w:val="auto"/>
          <w:sz w:val="22"/>
          <w:szCs w:val="22"/>
        </w:rPr>
        <w:t xml:space="preserve">Great Cruise Comeback </w:t>
      </w:r>
      <w:r w:rsidR="00AB4DE9" w:rsidRPr="00562BE3">
        <w:rPr>
          <w:rFonts w:ascii="Arial" w:hAnsi="Arial"/>
          <w:i/>
          <w:iCs/>
          <w:color w:val="auto"/>
          <w:sz w:val="22"/>
          <w:szCs w:val="22"/>
        </w:rPr>
        <w:t>Continues with Approximately 70% of Capacity Operating at Year End Across Company’s Three Brands</w:t>
      </w:r>
      <w:r w:rsidR="00A67B5E" w:rsidRPr="00562BE3">
        <w:rPr>
          <w:rFonts w:ascii="Arial" w:hAnsi="Arial"/>
          <w:i/>
          <w:iCs/>
          <w:color w:val="auto"/>
          <w:sz w:val="22"/>
          <w:szCs w:val="22"/>
        </w:rPr>
        <w:t xml:space="preserve">; Full Fleet Expected to be </w:t>
      </w:r>
      <w:r w:rsidR="0023453F" w:rsidRPr="00562BE3">
        <w:rPr>
          <w:rFonts w:ascii="Arial" w:hAnsi="Arial"/>
          <w:i/>
          <w:iCs/>
          <w:color w:val="auto"/>
          <w:sz w:val="22"/>
          <w:szCs w:val="22"/>
        </w:rPr>
        <w:t>Operati</w:t>
      </w:r>
      <w:r w:rsidR="0023453F">
        <w:rPr>
          <w:rFonts w:ascii="Arial" w:hAnsi="Arial"/>
          <w:i/>
          <w:iCs/>
          <w:color w:val="auto"/>
          <w:sz w:val="22"/>
          <w:szCs w:val="22"/>
        </w:rPr>
        <w:t>ng</w:t>
      </w:r>
      <w:r w:rsidR="0023453F" w:rsidRPr="00562BE3">
        <w:rPr>
          <w:rFonts w:ascii="Arial" w:hAnsi="Arial"/>
          <w:i/>
          <w:iCs/>
          <w:color w:val="auto"/>
          <w:sz w:val="22"/>
          <w:szCs w:val="22"/>
        </w:rPr>
        <w:t xml:space="preserve"> </w:t>
      </w:r>
      <w:r w:rsidR="00A67B5E" w:rsidRPr="00562BE3">
        <w:rPr>
          <w:rFonts w:ascii="Arial" w:hAnsi="Arial"/>
          <w:i/>
          <w:iCs/>
          <w:color w:val="auto"/>
          <w:sz w:val="22"/>
          <w:szCs w:val="22"/>
        </w:rPr>
        <w:t xml:space="preserve">by </w:t>
      </w:r>
      <w:r w:rsidR="00826F42">
        <w:rPr>
          <w:rFonts w:ascii="Arial" w:hAnsi="Arial"/>
          <w:i/>
          <w:iCs/>
          <w:color w:val="auto"/>
          <w:sz w:val="22"/>
          <w:szCs w:val="22"/>
        </w:rPr>
        <w:t>Early Second Quarter</w:t>
      </w:r>
    </w:p>
    <w:p w14:paraId="06ADEA65" w14:textId="5905E0A2" w:rsidR="00A67B5E" w:rsidRPr="00562BE3" w:rsidRDefault="00A67B5E" w:rsidP="00755DA7">
      <w:pPr>
        <w:jc w:val="center"/>
        <w:rPr>
          <w:rFonts w:ascii="Arial" w:hAnsi="Arial"/>
          <w:i/>
          <w:iCs/>
          <w:color w:val="auto"/>
          <w:sz w:val="22"/>
          <w:szCs w:val="22"/>
        </w:rPr>
      </w:pPr>
    </w:p>
    <w:p w14:paraId="51878CAE" w14:textId="014E78BC" w:rsidR="00A67B5E" w:rsidRPr="00562BE3" w:rsidRDefault="00A67B5E" w:rsidP="00755DA7">
      <w:pPr>
        <w:jc w:val="center"/>
        <w:rPr>
          <w:rFonts w:ascii="Arial" w:hAnsi="Arial"/>
          <w:i/>
          <w:iCs/>
          <w:color w:val="auto"/>
          <w:sz w:val="22"/>
          <w:szCs w:val="22"/>
        </w:rPr>
      </w:pPr>
      <w:r w:rsidRPr="00562BE3">
        <w:rPr>
          <w:rFonts w:ascii="Arial" w:hAnsi="Arial"/>
          <w:i/>
          <w:iCs/>
          <w:color w:val="auto"/>
          <w:sz w:val="22"/>
          <w:szCs w:val="22"/>
        </w:rPr>
        <w:t xml:space="preserve">Net Booking Volumes Continue Sequential Improvement </w:t>
      </w:r>
      <w:r w:rsidR="00196E78">
        <w:rPr>
          <w:rFonts w:ascii="Arial" w:hAnsi="Arial"/>
          <w:i/>
          <w:iCs/>
          <w:color w:val="auto"/>
          <w:sz w:val="22"/>
          <w:szCs w:val="22"/>
        </w:rPr>
        <w:t>Post Omicron</w:t>
      </w:r>
      <w:r w:rsidRPr="00562BE3">
        <w:rPr>
          <w:rFonts w:ascii="Arial" w:hAnsi="Arial"/>
          <w:i/>
          <w:iCs/>
          <w:color w:val="auto"/>
          <w:sz w:val="22"/>
          <w:szCs w:val="22"/>
        </w:rPr>
        <w:t xml:space="preserve"> </w:t>
      </w:r>
    </w:p>
    <w:p w14:paraId="45ED736D" w14:textId="4171F397" w:rsidR="00C31CE7" w:rsidRPr="00562BE3" w:rsidRDefault="00C31CE7" w:rsidP="00755DA7">
      <w:pPr>
        <w:jc w:val="center"/>
        <w:rPr>
          <w:rFonts w:ascii="Arial" w:hAnsi="Arial"/>
          <w:i/>
          <w:iCs/>
          <w:color w:val="auto"/>
          <w:sz w:val="22"/>
          <w:szCs w:val="22"/>
          <w:highlight w:val="yellow"/>
        </w:rPr>
      </w:pPr>
    </w:p>
    <w:p w14:paraId="4B9ABD46" w14:textId="49CD31A9" w:rsidR="00C31CE7" w:rsidRPr="00562BE3" w:rsidRDefault="00AB4DE9" w:rsidP="00961132">
      <w:pPr>
        <w:jc w:val="center"/>
        <w:rPr>
          <w:rFonts w:ascii="Arial" w:hAnsi="Arial"/>
          <w:i/>
          <w:iCs/>
          <w:color w:val="auto"/>
          <w:sz w:val="22"/>
          <w:szCs w:val="22"/>
        </w:rPr>
      </w:pPr>
      <w:r w:rsidRPr="00562BE3">
        <w:rPr>
          <w:rFonts w:ascii="Arial" w:hAnsi="Arial"/>
          <w:i/>
          <w:iCs/>
          <w:color w:val="auto"/>
          <w:sz w:val="22"/>
          <w:szCs w:val="22"/>
        </w:rPr>
        <w:t xml:space="preserve">Second Half 2022 Booked Position in Line with </w:t>
      </w:r>
      <w:r w:rsidR="001238CC" w:rsidRPr="00562BE3">
        <w:rPr>
          <w:rFonts w:ascii="Arial" w:hAnsi="Arial"/>
          <w:i/>
          <w:iCs/>
          <w:color w:val="auto"/>
          <w:sz w:val="22"/>
          <w:szCs w:val="22"/>
        </w:rPr>
        <w:t xml:space="preserve">Strong </w:t>
      </w:r>
      <w:r w:rsidRPr="00562BE3">
        <w:rPr>
          <w:rFonts w:ascii="Arial" w:hAnsi="Arial"/>
          <w:i/>
          <w:iCs/>
          <w:color w:val="auto"/>
          <w:sz w:val="22"/>
          <w:szCs w:val="22"/>
        </w:rPr>
        <w:t xml:space="preserve">2019 </w:t>
      </w:r>
      <w:r w:rsidR="0023453F">
        <w:rPr>
          <w:rFonts w:ascii="Arial" w:hAnsi="Arial"/>
          <w:i/>
          <w:iCs/>
          <w:color w:val="auto"/>
          <w:sz w:val="22"/>
          <w:szCs w:val="22"/>
        </w:rPr>
        <w:t>and at</w:t>
      </w:r>
      <w:r w:rsidR="0023453F" w:rsidRPr="00562BE3">
        <w:rPr>
          <w:rFonts w:ascii="Arial" w:hAnsi="Arial"/>
          <w:i/>
          <w:iCs/>
          <w:color w:val="auto"/>
          <w:sz w:val="22"/>
          <w:szCs w:val="22"/>
        </w:rPr>
        <w:t xml:space="preserve"> </w:t>
      </w:r>
      <w:r w:rsidRPr="00562BE3">
        <w:rPr>
          <w:rFonts w:ascii="Arial" w:hAnsi="Arial"/>
          <w:i/>
          <w:iCs/>
          <w:color w:val="auto"/>
          <w:sz w:val="22"/>
          <w:szCs w:val="22"/>
        </w:rPr>
        <w:t>Higher Pricing</w:t>
      </w:r>
    </w:p>
    <w:p w14:paraId="53B64852" w14:textId="13015EF6" w:rsidR="00CB1276" w:rsidRPr="00562BE3" w:rsidRDefault="00CB1276" w:rsidP="00171352">
      <w:pPr>
        <w:tabs>
          <w:tab w:val="center" w:pos="4680"/>
          <w:tab w:val="left" w:pos="7379"/>
        </w:tabs>
        <w:jc w:val="center"/>
        <w:rPr>
          <w:rFonts w:ascii="Arial" w:hAnsi="Arial"/>
          <w:b/>
          <w:bCs/>
          <w:i/>
          <w:iCs/>
          <w:color w:val="auto"/>
          <w:sz w:val="22"/>
          <w:szCs w:val="22"/>
          <w:highlight w:val="yellow"/>
        </w:rPr>
      </w:pPr>
    </w:p>
    <w:p w14:paraId="1B9A3950" w14:textId="51324F5C" w:rsidR="00283D42" w:rsidRPr="00562BE3" w:rsidRDefault="00EC14B6">
      <w:pPr>
        <w:spacing w:line="360" w:lineRule="auto"/>
        <w:jc w:val="both"/>
        <w:rPr>
          <w:rFonts w:ascii="Arial" w:hAnsi="Arial"/>
          <w:color w:val="auto"/>
          <w:sz w:val="20"/>
          <w:szCs w:val="20"/>
        </w:rPr>
      </w:pPr>
      <w:r w:rsidRPr="00562BE3">
        <w:rPr>
          <w:rFonts w:ascii="Arial" w:hAnsi="Arial"/>
          <w:color w:val="auto"/>
          <w:sz w:val="20"/>
          <w:szCs w:val="20"/>
        </w:rPr>
        <w:t xml:space="preserve">MIAMI, Florida – </w:t>
      </w:r>
      <w:r w:rsidR="0020114E" w:rsidRPr="00562BE3">
        <w:rPr>
          <w:rFonts w:ascii="Arial" w:hAnsi="Arial"/>
          <w:color w:val="auto"/>
          <w:sz w:val="20"/>
          <w:szCs w:val="20"/>
        </w:rPr>
        <w:t xml:space="preserve">February </w:t>
      </w:r>
      <w:r w:rsidR="00A7393A">
        <w:rPr>
          <w:rFonts w:ascii="Arial" w:hAnsi="Arial"/>
          <w:color w:val="auto"/>
          <w:sz w:val="20"/>
          <w:szCs w:val="20"/>
        </w:rPr>
        <w:t>24</w:t>
      </w:r>
      <w:r w:rsidRPr="00562BE3">
        <w:rPr>
          <w:rFonts w:ascii="Arial" w:hAnsi="Arial"/>
          <w:color w:val="auto"/>
          <w:sz w:val="20"/>
          <w:szCs w:val="20"/>
        </w:rPr>
        <w:t>, 20</w:t>
      </w:r>
      <w:r w:rsidR="00171352" w:rsidRPr="00562BE3">
        <w:rPr>
          <w:rFonts w:ascii="Arial" w:hAnsi="Arial"/>
          <w:color w:val="auto"/>
          <w:sz w:val="20"/>
          <w:szCs w:val="20"/>
        </w:rPr>
        <w:t>2</w:t>
      </w:r>
      <w:r w:rsidR="0020114E" w:rsidRPr="00562BE3">
        <w:rPr>
          <w:rFonts w:ascii="Arial" w:hAnsi="Arial"/>
          <w:color w:val="auto"/>
          <w:sz w:val="20"/>
          <w:szCs w:val="20"/>
        </w:rPr>
        <w:t>2</w:t>
      </w:r>
      <w:r w:rsidRPr="00562BE3">
        <w:rPr>
          <w:rFonts w:ascii="Arial" w:hAnsi="Arial"/>
          <w:b/>
          <w:bCs/>
          <w:color w:val="auto"/>
          <w:sz w:val="20"/>
          <w:szCs w:val="20"/>
        </w:rPr>
        <w:t xml:space="preserve"> </w:t>
      </w:r>
      <w:r w:rsidRPr="00562BE3">
        <w:rPr>
          <w:rFonts w:ascii="Arial" w:hAnsi="Arial"/>
          <w:color w:val="auto"/>
          <w:sz w:val="20"/>
          <w:szCs w:val="20"/>
        </w:rPr>
        <w:t>– Norwegian Cruise Line Holdings Ltd. (N</w:t>
      </w:r>
      <w:r w:rsidR="00E70A00" w:rsidRPr="00562BE3">
        <w:rPr>
          <w:rFonts w:ascii="Arial" w:hAnsi="Arial"/>
          <w:color w:val="auto"/>
          <w:sz w:val="20"/>
          <w:szCs w:val="20"/>
        </w:rPr>
        <w:t>YSE</w:t>
      </w:r>
      <w:r w:rsidRPr="00562BE3">
        <w:rPr>
          <w:rFonts w:ascii="Arial" w:hAnsi="Arial"/>
          <w:color w:val="auto"/>
          <w:sz w:val="20"/>
          <w:szCs w:val="20"/>
        </w:rPr>
        <w:t xml:space="preserve">: NCLH) (together with NCL Corporation Ltd., “Norwegian Cruise Line Holdings”, “Norwegian” or the “Company”) today reported financial results for the </w:t>
      </w:r>
      <w:r w:rsidR="0020114E" w:rsidRPr="00562BE3">
        <w:rPr>
          <w:rFonts w:ascii="Arial" w:hAnsi="Arial"/>
          <w:color w:val="auto"/>
          <w:sz w:val="20"/>
          <w:szCs w:val="20"/>
        </w:rPr>
        <w:t xml:space="preserve">fourth </w:t>
      </w:r>
      <w:r w:rsidR="00EA4C05" w:rsidRPr="00562BE3">
        <w:rPr>
          <w:rFonts w:ascii="Arial" w:hAnsi="Arial"/>
          <w:color w:val="auto"/>
          <w:sz w:val="20"/>
          <w:szCs w:val="20"/>
        </w:rPr>
        <w:t xml:space="preserve">quarter </w:t>
      </w:r>
      <w:r w:rsidR="0020114E" w:rsidRPr="00562BE3">
        <w:rPr>
          <w:rFonts w:ascii="Arial" w:hAnsi="Arial"/>
          <w:color w:val="auto"/>
          <w:sz w:val="20"/>
          <w:szCs w:val="20"/>
        </w:rPr>
        <w:t xml:space="preserve">and full year </w:t>
      </w:r>
      <w:r w:rsidR="00171352" w:rsidRPr="00562BE3">
        <w:rPr>
          <w:rFonts w:ascii="Arial" w:hAnsi="Arial"/>
          <w:color w:val="auto"/>
          <w:sz w:val="20"/>
          <w:szCs w:val="20"/>
        </w:rPr>
        <w:t xml:space="preserve">ended </w:t>
      </w:r>
      <w:r w:rsidR="0020114E" w:rsidRPr="00562BE3">
        <w:rPr>
          <w:rFonts w:ascii="Arial" w:hAnsi="Arial"/>
          <w:color w:val="auto"/>
          <w:sz w:val="20"/>
          <w:szCs w:val="20"/>
        </w:rPr>
        <w:t>December 31</w:t>
      </w:r>
      <w:r w:rsidR="00171352" w:rsidRPr="00562BE3">
        <w:rPr>
          <w:rFonts w:ascii="Arial" w:hAnsi="Arial"/>
          <w:color w:val="auto"/>
          <w:sz w:val="20"/>
          <w:szCs w:val="20"/>
        </w:rPr>
        <w:t>, 20</w:t>
      </w:r>
      <w:r w:rsidR="00EA4C05" w:rsidRPr="00562BE3">
        <w:rPr>
          <w:rFonts w:ascii="Arial" w:hAnsi="Arial"/>
          <w:color w:val="auto"/>
          <w:sz w:val="20"/>
          <w:szCs w:val="20"/>
        </w:rPr>
        <w:t>2</w:t>
      </w:r>
      <w:r w:rsidR="00C62CDF" w:rsidRPr="00562BE3">
        <w:rPr>
          <w:rFonts w:ascii="Arial" w:hAnsi="Arial"/>
          <w:color w:val="auto"/>
          <w:sz w:val="20"/>
          <w:szCs w:val="20"/>
        </w:rPr>
        <w:t>1</w:t>
      </w:r>
      <w:r w:rsidR="00EE0F28" w:rsidRPr="00562BE3">
        <w:rPr>
          <w:rFonts w:ascii="Arial" w:hAnsi="Arial"/>
          <w:color w:val="auto"/>
          <w:sz w:val="20"/>
          <w:szCs w:val="20"/>
        </w:rPr>
        <w:t xml:space="preserve"> and provided a business update</w:t>
      </w:r>
      <w:r w:rsidR="00760E42" w:rsidRPr="00562BE3">
        <w:rPr>
          <w:rFonts w:ascii="Arial" w:hAnsi="Arial"/>
          <w:color w:val="auto"/>
          <w:sz w:val="20"/>
          <w:szCs w:val="20"/>
        </w:rPr>
        <w:t>.</w:t>
      </w:r>
    </w:p>
    <w:p w14:paraId="0CCB298B" w14:textId="3FFABD1B" w:rsidR="00774858" w:rsidRPr="00562BE3" w:rsidRDefault="00863626" w:rsidP="00774858">
      <w:pPr>
        <w:pStyle w:val="Sinespaciado"/>
        <w:spacing w:line="360" w:lineRule="auto"/>
        <w:jc w:val="both"/>
        <w:rPr>
          <w:rFonts w:ascii="Arial" w:eastAsia="Arial Unicode MS" w:hAnsi="Arial" w:cs="Arial Unicode MS"/>
          <w:sz w:val="20"/>
          <w:szCs w:val="20"/>
          <w:bdr w:val="nil"/>
        </w:rPr>
      </w:pPr>
      <w:r w:rsidRPr="00562BE3">
        <w:rPr>
          <w:rFonts w:ascii="Arial" w:eastAsia="Arial Unicode MS" w:hAnsi="Arial" w:cs="Arial Unicode MS"/>
          <w:noProof/>
          <w:sz w:val="20"/>
          <w:szCs w:val="20"/>
          <w:bdr w:val="nil"/>
          <w:lang w:val="es-ES" w:eastAsia="es-ES"/>
        </w:rPr>
        <mc:AlternateContent>
          <mc:Choice Requires="wps">
            <w:drawing>
              <wp:anchor distT="0" distB="0" distL="114300" distR="114300" simplePos="0" relativeHeight="251660288" behindDoc="0" locked="0" layoutInCell="1" allowOverlap="1" wp14:anchorId="19ABCF43" wp14:editId="7ACB6FAF">
                <wp:simplePos x="0" y="0"/>
                <wp:positionH relativeFrom="column">
                  <wp:posOffset>2152650</wp:posOffset>
                </wp:positionH>
                <wp:positionV relativeFrom="paragraph">
                  <wp:posOffset>1022985</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4936CCC" w14:textId="77777777" w:rsidR="00A33BC6" w:rsidRDefault="00A33BC6"/>
                        </w:txbxContent>
                      </wps:txbx>
                      <wps:bodyPr rot="0" spcFirstLastPara="1" vertOverflow="overflow" horzOverflow="overflow" vert="horz" wrap="none" lIns="0" tIns="0" rIns="0" bIns="0" numCol="1" spcCol="3810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BCF43" id="_x0000_t202" coordsize="21600,21600" o:spt="202" path="m,l,21600r21600,l21600,xe">
                <v:stroke joinstyle="miter"/>
                <v:path gradientshapeok="t" o:connecttype="rect"/>
              </v:shapetype>
              <v:shape id="Text Box 2" o:spid="_x0000_s1026" type="#_x0000_t202" style="position:absolute;left:0;text-align:left;margin-left:169.5pt;margin-top:80.5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" filled="f" stroked="f" strokeweight="1pt">
                <v:stroke miterlimit="4"/>
                <v:textbox style="mso-fit-shape-to-text:t" inset="0,0,0,0">
                  <w:txbxContent>
                    <w:p w14:paraId="14936CCC" w14:textId="77777777" w:rsidR="00A33BC6" w:rsidRDefault="00A33BC6"/>
                  </w:txbxContent>
                </v:textbox>
              </v:shape>
            </w:pict>
          </mc:Fallback>
        </mc:AlternateContent>
      </w:r>
      <w:proofErr w:type="gramStart"/>
      <w:r w:rsidR="00312871" w:rsidRPr="00562BE3">
        <w:rPr>
          <w:rFonts w:ascii="Arial" w:eastAsia="Arial Unicode MS" w:hAnsi="Arial" w:cs="Arial Unicode MS"/>
          <w:sz w:val="20"/>
          <w:szCs w:val="20"/>
          <w:bdr w:val="nil"/>
        </w:rPr>
        <w:t>“</w:t>
      </w:r>
      <w:bookmarkStart w:id="0" w:name="_Hlk95310933"/>
      <w:r w:rsidR="00EC19EC" w:rsidRPr="00562BE3">
        <w:rPr>
          <w:rFonts w:ascii="Arial" w:eastAsia="Arial Unicode MS" w:hAnsi="Arial" w:cs="Arial Unicode MS"/>
          <w:sz w:val="20"/>
          <w:szCs w:val="20"/>
          <w:bdr w:val="nil"/>
        </w:rPr>
        <w:t>W</w:t>
      </w:r>
      <w:r w:rsidR="00AB4DE9" w:rsidRPr="00562BE3">
        <w:rPr>
          <w:rFonts w:ascii="Arial" w:eastAsia="Arial Unicode MS" w:hAnsi="Arial" w:cs="Arial Unicode MS"/>
          <w:sz w:val="20"/>
          <w:szCs w:val="20"/>
          <w:bdr w:val="nil"/>
        </w:rPr>
        <w:t xml:space="preserve">e </w:t>
      </w:r>
      <w:r w:rsidR="00065B54" w:rsidRPr="00562BE3">
        <w:rPr>
          <w:rFonts w:ascii="Arial" w:eastAsia="Arial Unicode MS" w:hAnsi="Arial" w:cs="Arial Unicode MS"/>
          <w:sz w:val="20"/>
          <w:szCs w:val="20"/>
          <w:bdr w:val="nil"/>
        </w:rPr>
        <w:t>launched</w:t>
      </w:r>
      <w:r w:rsidR="00AB4DE9" w:rsidRPr="00562BE3">
        <w:rPr>
          <w:rFonts w:ascii="Arial" w:eastAsia="Arial Unicode MS" w:hAnsi="Arial" w:cs="Arial Unicode MS"/>
          <w:sz w:val="20"/>
          <w:szCs w:val="20"/>
          <w:bdr w:val="nil"/>
        </w:rPr>
        <w:t xml:space="preserve"> our Great Cruise Comeback in </w:t>
      </w:r>
      <w:r w:rsidR="00065B54" w:rsidRPr="00562BE3">
        <w:rPr>
          <w:rFonts w:ascii="Arial" w:eastAsia="Arial Unicode MS" w:hAnsi="Arial" w:cs="Arial Unicode MS"/>
          <w:sz w:val="20"/>
          <w:szCs w:val="20"/>
          <w:bdr w:val="nil"/>
        </w:rPr>
        <w:t xml:space="preserve">late </w:t>
      </w:r>
      <w:r w:rsidR="00AB4DE9" w:rsidRPr="00562BE3">
        <w:rPr>
          <w:rFonts w:ascii="Arial" w:eastAsia="Arial Unicode MS" w:hAnsi="Arial" w:cs="Arial Unicode MS"/>
          <w:sz w:val="20"/>
          <w:szCs w:val="20"/>
          <w:bdr w:val="nil"/>
        </w:rPr>
        <w:t>July 2021</w:t>
      </w:r>
      <w:r w:rsidR="00065B54" w:rsidRPr="00562BE3">
        <w:rPr>
          <w:rFonts w:ascii="Arial" w:eastAsia="Arial Unicode MS" w:hAnsi="Arial" w:cs="Arial Unicode MS"/>
          <w:sz w:val="20"/>
          <w:szCs w:val="20"/>
          <w:bdr w:val="nil"/>
        </w:rPr>
        <w:t xml:space="preserve"> </w:t>
      </w:r>
      <w:r w:rsidR="00EC19EC" w:rsidRPr="00562BE3">
        <w:rPr>
          <w:rFonts w:ascii="Arial" w:eastAsia="Arial Unicode MS" w:hAnsi="Arial" w:cs="Arial Unicode MS"/>
          <w:sz w:val="20"/>
          <w:szCs w:val="20"/>
          <w:bdr w:val="nil"/>
        </w:rPr>
        <w:t xml:space="preserve">and in </w:t>
      </w:r>
      <w:r w:rsidR="001E04CE" w:rsidRPr="00562BE3">
        <w:rPr>
          <w:rFonts w:ascii="Arial" w:eastAsia="Arial Unicode MS" w:hAnsi="Arial" w:cs="Arial Unicode MS"/>
          <w:sz w:val="20"/>
          <w:szCs w:val="20"/>
          <w:bdr w:val="nil"/>
        </w:rPr>
        <w:t>five short</w:t>
      </w:r>
      <w:r w:rsidR="00EC19EC" w:rsidRPr="00562BE3">
        <w:rPr>
          <w:rFonts w:ascii="Arial" w:eastAsia="Arial Unicode MS" w:hAnsi="Arial" w:cs="Arial Unicode MS"/>
          <w:sz w:val="20"/>
          <w:szCs w:val="20"/>
          <w:bdr w:val="nil"/>
        </w:rPr>
        <w:t xml:space="preserve"> months, the teams at Norwegian Cruise Line, Oceania Cruises and Regent Seven Seas Cruises have restarted operations on </w:t>
      </w:r>
      <w:r w:rsidR="001238CC" w:rsidRPr="00562BE3">
        <w:rPr>
          <w:rFonts w:ascii="Arial" w:eastAsia="Arial Unicode MS" w:hAnsi="Arial" w:cs="Arial Unicode MS"/>
          <w:sz w:val="20"/>
          <w:szCs w:val="20"/>
          <w:bdr w:val="nil"/>
        </w:rPr>
        <w:t>75</w:t>
      </w:r>
      <w:r w:rsidR="00EC19EC" w:rsidRPr="00562BE3">
        <w:rPr>
          <w:rFonts w:ascii="Arial" w:eastAsia="Arial Unicode MS" w:hAnsi="Arial" w:cs="Arial Unicode MS"/>
          <w:sz w:val="20"/>
          <w:szCs w:val="20"/>
          <w:bdr w:val="nil"/>
        </w:rPr>
        <w:t xml:space="preserve">% of our </w:t>
      </w:r>
      <w:r w:rsidR="00AD7182">
        <w:rPr>
          <w:rFonts w:ascii="Arial" w:eastAsia="Arial Unicode MS" w:hAnsi="Arial" w:cs="Arial Unicode MS"/>
          <w:sz w:val="20"/>
          <w:szCs w:val="20"/>
          <w:bdr w:val="nil"/>
        </w:rPr>
        <w:t>capacity</w:t>
      </w:r>
      <w:r w:rsidR="00F875B1" w:rsidRPr="00562BE3">
        <w:rPr>
          <w:rFonts w:ascii="Arial" w:eastAsia="Arial Unicode MS" w:hAnsi="Arial" w:cs="Arial Unicode MS"/>
          <w:sz w:val="20"/>
          <w:szCs w:val="20"/>
          <w:bdr w:val="nil"/>
        </w:rPr>
        <w:t xml:space="preserve">, </w:t>
      </w:r>
      <w:r w:rsidR="003075AB">
        <w:rPr>
          <w:rFonts w:ascii="Arial" w:eastAsia="Arial Unicode MS" w:hAnsi="Arial" w:cs="Arial Unicode MS"/>
          <w:sz w:val="20"/>
          <w:szCs w:val="20"/>
          <w:bdr w:val="nil"/>
        </w:rPr>
        <w:t xml:space="preserve">safely </w:t>
      </w:r>
      <w:r w:rsidR="00F875B1" w:rsidRPr="00562BE3">
        <w:rPr>
          <w:rFonts w:ascii="Arial" w:eastAsia="Arial Unicode MS" w:hAnsi="Arial" w:cs="Arial Unicode MS"/>
          <w:sz w:val="20"/>
          <w:szCs w:val="20"/>
          <w:bdr w:val="nil"/>
        </w:rPr>
        <w:t>carrying</w:t>
      </w:r>
      <w:r w:rsidR="00EC19EC" w:rsidRPr="00562BE3">
        <w:rPr>
          <w:rFonts w:ascii="Arial" w:eastAsia="Arial Unicode MS" w:hAnsi="Arial" w:cs="Arial Unicode MS"/>
          <w:sz w:val="20"/>
          <w:szCs w:val="20"/>
          <w:bdr w:val="nil"/>
        </w:rPr>
        <w:t xml:space="preserve"> </w:t>
      </w:r>
      <w:r w:rsidR="001238CC" w:rsidRPr="00562BE3">
        <w:rPr>
          <w:rFonts w:ascii="Arial" w:eastAsia="Arial Unicode MS" w:hAnsi="Arial" w:cs="Arial Unicode MS"/>
          <w:sz w:val="20"/>
          <w:szCs w:val="20"/>
          <w:bdr w:val="nil"/>
        </w:rPr>
        <w:t>over 230,000</w:t>
      </w:r>
      <w:r w:rsidR="00065B54" w:rsidRPr="00562BE3">
        <w:rPr>
          <w:rFonts w:ascii="Arial" w:eastAsia="Arial Unicode MS" w:hAnsi="Arial" w:cs="Arial Unicode MS"/>
          <w:sz w:val="20"/>
          <w:szCs w:val="20"/>
          <w:bdr w:val="nil"/>
        </w:rPr>
        <w:t xml:space="preserve"> guests</w:t>
      </w:r>
      <w:r w:rsidR="00EC19EC" w:rsidRPr="00562BE3">
        <w:rPr>
          <w:rFonts w:ascii="Arial" w:eastAsia="Arial Unicode MS" w:hAnsi="Arial" w:cs="Arial Unicode MS"/>
          <w:sz w:val="20"/>
          <w:szCs w:val="20"/>
          <w:bdr w:val="nil"/>
        </w:rPr>
        <w:t xml:space="preserve"> </w:t>
      </w:r>
      <w:r w:rsidR="00F875B1" w:rsidRPr="00562BE3">
        <w:rPr>
          <w:rFonts w:ascii="Arial" w:eastAsia="Arial Unicode MS" w:hAnsi="Arial" w:cs="Arial Unicode MS"/>
          <w:sz w:val="20"/>
          <w:szCs w:val="20"/>
          <w:bdr w:val="nil"/>
        </w:rPr>
        <w:t xml:space="preserve">and </w:t>
      </w:r>
      <w:r w:rsidR="001E04CE" w:rsidRPr="00562BE3">
        <w:rPr>
          <w:rFonts w:ascii="Arial" w:eastAsia="Arial Unicode MS" w:hAnsi="Arial" w:cs="Arial Unicode MS"/>
          <w:sz w:val="20"/>
          <w:szCs w:val="20"/>
          <w:bdr w:val="nil"/>
        </w:rPr>
        <w:t>delivering</w:t>
      </w:r>
      <w:r w:rsidR="00065B54" w:rsidRPr="00562BE3">
        <w:rPr>
          <w:rFonts w:ascii="Arial" w:eastAsia="Arial Unicode MS" w:hAnsi="Arial" w:cs="Arial Unicode MS"/>
          <w:sz w:val="20"/>
          <w:szCs w:val="20"/>
          <w:bdr w:val="nil"/>
        </w:rPr>
        <w:t xml:space="preserve"> the unique vacation experiences that </w:t>
      </w:r>
      <w:r w:rsidR="00EC19EC" w:rsidRPr="00562BE3">
        <w:rPr>
          <w:rFonts w:ascii="Arial" w:eastAsia="Arial Unicode MS" w:hAnsi="Arial" w:cs="Arial Unicode MS"/>
          <w:sz w:val="20"/>
          <w:szCs w:val="20"/>
          <w:bdr w:val="nil"/>
        </w:rPr>
        <w:t xml:space="preserve">our </w:t>
      </w:r>
      <w:r w:rsidR="00C249D8">
        <w:rPr>
          <w:rFonts w:ascii="Arial" w:eastAsia="Arial Unicode MS" w:hAnsi="Arial" w:cs="Arial Unicode MS"/>
          <w:sz w:val="20"/>
          <w:szCs w:val="20"/>
          <w:bdr w:val="nil"/>
        </w:rPr>
        <w:t>award-</w:t>
      </w:r>
      <w:r w:rsidR="00196E78">
        <w:rPr>
          <w:rFonts w:ascii="Arial" w:eastAsia="Arial Unicode MS" w:hAnsi="Arial" w:cs="Arial Unicode MS"/>
          <w:sz w:val="20"/>
          <w:szCs w:val="20"/>
          <w:bdr w:val="nil"/>
        </w:rPr>
        <w:t xml:space="preserve">winning </w:t>
      </w:r>
      <w:r w:rsidR="00EC19EC" w:rsidRPr="00562BE3">
        <w:rPr>
          <w:rFonts w:ascii="Arial" w:eastAsia="Arial Unicode MS" w:hAnsi="Arial" w:cs="Arial Unicode MS"/>
          <w:sz w:val="20"/>
          <w:szCs w:val="20"/>
          <w:bdr w:val="nil"/>
        </w:rPr>
        <w:t>cruise brands</w:t>
      </w:r>
      <w:r w:rsidR="00065B54" w:rsidRPr="00562BE3">
        <w:rPr>
          <w:rFonts w:ascii="Arial" w:eastAsia="Arial Unicode MS" w:hAnsi="Arial" w:cs="Arial Unicode MS"/>
          <w:sz w:val="20"/>
          <w:szCs w:val="20"/>
          <w:bdr w:val="nil"/>
        </w:rPr>
        <w:t xml:space="preserve"> </w:t>
      </w:r>
      <w:r w:rsidR="00B34676">
        <w:rPr>
          <w:rFonts w:ascii="Arial" w:eastAsia="Arial Unicode MS" w:hAnsi="Arial" w:cs="Arial Unicode MS"/>
          <w:sz w:val="20"/>
          <w:szCs w:val="20"/>
          <w:bdr w:val="nil"/>
        </w:rPr>
        <w:t>are famous for</w:t>
      </w:r>
      <w:r w:rsidR="00B307A2" w:rsidRPr="00562BE3">
        <w:rPr>
          <w:rFonts w:ascii="Arial" w:eastAsia="Arial Unicode MS" w:hAnsi="Arial" w:cs="Arial Unicode MS"/>
          <w:sz w:val="20"/>
          <w:szCs w:val="20"/>
          <w:bdr w:val="nil"/>
        </w:rPr>
        <w:t xml:space="preserve">,” </w:t>
      </w:r>
      <w:r w:rsidR="00C7145C" w:rsidRPr="00562BE3">
        <w:rPr>
          <w:rFonts w:ascii="Arial" w:eastAsia="Arial Unicode MS" w:hAnsi="Arial" w:cs="Arial Unicode MS"/>
          <w:sz w:val="20"/>
          <w:szCs w:val="20"/>
          <w:bdr w:val="nil"/>
        </w:rPr>
        <w:t xml:space="preserve">said Frank Del Rio, president and chief executive officer of Norwegian Cruise Line Holdings Ltd. </w:t>
      </w:r>
      <w:r w:rsidR="00774858" w:rsidRPr="00562BE3">
        <w:rPr>
          <w:rFonts w:ascii="Arial" w:eastAsia="Arial Unicode MS" w:hAnsi="Arial" w:cs="Arial Unicode MS"/>
          <w:sz w:val="20"/>
          <w:szCs w:val="20"/>
          <w:bdr w:val="nil"/>
        </w:rPr>
        <w:t>“</w:t>
      </w:r>
      <w:r w:rsidR="00B34676">
        <w:rPr>
          <w:rFonts w:ascii="Arial" w:eastAsia="Arial Unicode MS" w:hAnsi="Arial" w:cs="Arial Unicode MS"/>
          <w:sz w:val="20"/>
          <w:szCs w:val="20"/>
          <w:bdr w:val="nil"/>
        </w:rPr>
        <w:t>These last few months</w:t>
      </w:r>
      <w:r w:rsidR="00C270B9" w:rsidRPr="00562BE3">
        <w:rPr>
          <w:rFonts w:ascii="Arial" w:eastAsia="Arial Unicode MS" w:hAnsi="Arial" w:cs="Arial Unicode MS"/>
          <w:sz w:val="20"/>
          <w:szCs w:val="20"/>
          <w:bdr w:val="nil"/>
        </w:rPr>
        <w:t xml:space="preserve"> ha</w:t>
      </w:r>
      <w:r w:rsidR="00B34676">
        <w:rPr>
          <w:rFonts w:ascii="Arial" w:eastAsia="Arial Unicode MS" w:hAnsi="Arial" w:cs="Arial Unicode MS"/>
          <w:sz w:val="20"/>
          <w:szCs w:val="20"/>
          <w:bdr w:val="nil"/>
        </w:rPr>
        <w:t>ve</w:t>
      </w:r>
      <w:r w:rsidR="00C270B9" w:rsidRPr="00562BE3">
        <w:rPr>
          <w:rFonts w:ascii="Arial" w:eastAsia="Arial Unicode MS" w:hAnsi="Arial" w:cs="Arial Unicode MS"/>
          <w:sz w:val="20"/>
          <w:szCs w:val="20"/>
          <w:bdr w:val="nil"/>
        </w:rPr>
        <w:t xml:space="preserve"> also had </w:t>
      </w:r>
      <w:r w:rsidR="00B34676">
        <w:rPr>
          <w:rFonts w:ascii="Arial" w:eastAsia="Arial Unicode MS" w:hAnsi="Arial" w:cs="Arial Unicode MS"/>
          <w:sz w:val="20"/>
          <w:szCs w:val="20"/>
          <w:bdr w:val="nil"/>
        </w:rPr>
        <w:t>their</w:t>
      </w:r>
      <w:r w:rsidR="00C270B9" w:rsidRPr="00562BE3">
        <w:rPr>
          <w:rFonts w:ascii="Arial" w:eastAsia="Arial Unicode MS" w:hAnsi="Arial" w:cs="Arial Unicode MS"/>
          <w:sz w:val="20"/>
          <w:szCs w:val="20"/>
          <w:bdr w:val="nil"/>
        </w:rPr>
        <w:t xml:space="preserve"> share of challenges </w:t>
      </w:r>
      <w:r w:rsidR="00B34676">
        <w:rPr>
          <w:rFonts w:ascii="Arial" w:eastAsia="Arial Unicode MS" w:hAnsi="Arial" w:cs="Arial Unicode MS"/>
          <w:sz w:val="20"/>
          <w:szCs w:val="20"/>
          <w:bdr w:val="nil"/>
        </w:rPr>
        <w:t>caused by the</w:t>
      </w:r>
      <w:r w:rsidR="00C270B9" w:rsidRPr="00562BE3">
        <w:rPr>
          <w:rFonts w:ascii="Arial" w:eastAsia="Arial Unicode MS" w:hAnsi="Arial" w:cs="Arial Unicode MS"/>
          <w:sz w:val="20"/>
          <w:szCs w:val="20"/>
          <w:bdr w:val="nil"/>
        </w:rPr>
        <w:t xml:space="preserve"> impacts </w:t>
      </w:r>
      <w:r w:rsidR="00D640C5" w:rsidRPr="00562BE3">
        <w:rPr>
          <w:rFonts w:ascii="Arial" w:eastAsia="Arial Unicode MS" w:hAnsi="Arial" w:cs="Arial Unicode MS"/>
          <w:sz w:val="20"/>
          <w:szCs w:val="20"/>
          <w:bdr w:val="nil"/>
        </w:rPr>
        <w:t>from</w:t>
      </w:r>
      <w:r w:rsidR="00C270B9" w:rsidRPr="00562BE3">
        <w:rPr>
          <w:rFonts w:ascii="Arial" w:eastAsia="Arial Unicode MS" w:hAnsi="Arial" w:cs="Arial Unicode MS"/>
          <w:sz w:val="20"/>
          <w:szCs w:val="20"/>
          <w:bdr w:val="nil"/>
        </w:rPr>
        <w:t xml:space="preserve"> </w:t>
      </w:r>
      <w:r w:rsidR="003075AB">
        <w:rPr>
          <w:rFonts w:ascii="Arial" w:eastAsia="Arial Unicode MS" w:hAnsi="Arial" w:cs="Arial Unicode MS"/>
          <w:sz w:val="20"/>
          <w:szCs w:val="20"/>
          <w:bdr w:val="nil"/>
        </w:rPr>
        <w:t>the Delta and Omicron</w:t>
      </w:r>
      <w:r w:rsidR="003075AB" w:rsidRPr="00562BE3">
        <w:rPr>
          <w:rFonts w:ascii="Arial" w:eastAsia="Arial Unicode MS" w:hAnsi="Arial" w:cs="Arial Unicode MS"/>
          <w:sz w:val="20"/>
          <w:szCs w:val="20"/>
          <w:bdr w:val="nil"/>
        </w:rPr>
        <w:t xml:space="preserve"> </w:t>
      </w:r>
      <w:r w:rsidR="00C270B9" w:rsidRPr="00562BE3">
        <w:rPr>
          <w:rFonts w:ascii="Arial" w:eastAsia="Arial Unicode MS" w:hAnsi="Arial" w:cs="Arial Unicode MS"/>
          <w:sz w:val="20"/>
          <w:szCs w:val="20"/>
          <w:bdr w:val="nil"/>
        </w:rPr>
        <w:t>COVID surges</w:t>
      </w:r>
      <w:r w:rsidR="00B34676">
        <w:rPr>
          <w:rFonts w:ascii="Arial" w:eastAsia="Arial Unicode MS" w:hAnsi="Arial" w:cs="Arial Unicode MS"/>
          <w:sz w:val="20"/>
          <w:szCs w:val="20"/>
          <w:bdr w:val="nil"/>
        </w:rPr>
        <w:t>, but d</w:t>
      </w:r>
      <w:r w:rsidR="00FF30E2" w:rsidRPr="00562BE3">
        <w:rPr>
          <w:rFonts w:ascii="Arial" w:eastAsia="Arial Unicode MS" w:hAnsi="Arial" w:cs="Arial Unicode MS"/>
          <w:sz w:val="20"/>
          <w:szCs w:val="20"/>
          <w:bdr w:val="nil"/>
        </w:rPr>
        <w:t>espite these challenges</w:t>
      </w:r>
      <w:r w:rsidR="00B34676">
        <w:rPr>
          <w:rFonts w:ascii="Arial" w:eastAsia="Arial Unicode MS" w:hAnsi="Arial" w:cs="Arial Unicode MS"/>
          <w:sz w:val="20"/>
          <w:szCs w:val="20"/>
          <w:bdr w:val="nil"/>
        </w:rPr>
        <w:t xml:space="preserve"> which were mostly</w:t>
      </w:r>
      <w:r w:rsidR="003075AB">
        <w:rPr>
          <w:rFonts w:ascii="Arial" w:eastAsia="Arial Unicode MS" w:hAnsi="Arial" w:cs="Arial Unicode MS"/>
          <w:sz w:val="20"/>
          <w:szCs w:val="20"/>
          <w:bdr w:val="nil"/>
        </w:rPr>
        <w:t xml:space="preserve"> out of our control</w:t>
      </w:r>
      <w:r w:rsidR="00FF30E2" w:rsidRPr="00562BE3">
        <w:rPr>
          <w:rFonts w:ascii="Arial" w:eastAsia="Arial Unicode MS" w:hAnsi="Arial" w:cs="Arial Unicode MS"/>
          <w:sz w:val="20"/>
          <w:szCs w:val="20"/>
          <w:bdr w:val="nil"/>
        </w:rPr>
        <w:t>,</w:t>
      </w:r>
      <w:r w:rsidR="00C270B9" w:rsidRPr="00562BE3">
        <w:rPr>
          <w:rFonts w:ascii="Arial" w:eastAsia="Arial Unicode MS" w:hAnsi="Arial" w:cs="Arial Unicode MS"/>
          <w:sz w:val="20"/>
          <w:szCs w:val="20"/>
          <w:bdr w:val="nil"/>
        </w:rPr>
        <w:t xml:space="preserve"> </w:t>
      </w:r>
      <w:r w:rsidR="00065B54" w:rsidRPr="00562BE3">
        <w:rPr>
          <w:rFonts w:ascii="Arial" w:eastAsia="Arial Unicode MS" w:hAnsi="Arial" w:cs="Arial Unicode MS"/>
          <w:sz w:val="20"/>
          <w:szCs w:val="20"/>
          <w:bdr w:val="nil"/>
        </w:rPr>
        <w:t xml:space="preserve">our booked position </w:t>
      </w:r>
      <w:r w:rsidR="002E3792" w:rsidRPr="00562BE3">
        <w:rPr>
          <w:rFonts w:ascii="Arial" w:eastAsia="Arial Unicode MS" w:hAnsi="Arial" w:cs="Arial Unicode MS"/>
          <w:sz w:val="20"/>
          <w:szCs w:val="20"/>
          <w:bdr w:val="nil"/>
        </w:rPr>
        <w:t xml:space="preserve">and pricing </w:t>
      </w:r>
      <w:r w:rsidR="00065B54" w:rsidRPr="00562BE3">
        <w:rPr>
          <w:rFonts w:ascii="Arial" w:eastAsia="Arial Unicode MS" w:hAnsi="Arial" w:cs="Arial Unicode MS"/>
          <w:sz w:val="20"/>
          <w:szCs w:val="20"/>
          <w:bdr w:val="nil"/>
        </w:rPr>
        <w:t xml:space="preserve">remain strong, </w:t>
      </w:r>
      <w:r w:rsidR="00C270B9" w:rsidRPr="00562BE3">
        <w:rPr>
          <w:rFonts w:ascii="Arial" w:eastAsia="Arial Unicode MS" w:hAnsi="Arial" w:cs="Arial Unicode MS"/>
          <w:sz w:val="20"/>
          <w:szCs w:val="20"/>
          <w:bdr w:val="nil"/>
        </w:rPr>
        <w:t>particularly</w:t>
      </w:r>
      <w:r w:rsidR="00065B54" w:rsidRPr="00562BE3">
        <w:rPr>
          <w:rFonts w:ascii="Arial" w:eastAsia="Arial Unicode MS" w:hAnsi="Arial" w:cs="Arial Unicode MS"/>
          <w:sz w:val="20"/>
          <w:szCs w:val="20"/>
          <w:bdr w:val="nil"/>
        </w:rPr>
        <w:t xml:space="preserve"> for the </w:t>
      </w:r>
      <w:r w:rsidR="00C270B9" w:rsidRPr="00562BE3">
        <w:rPr>
          <w:rFonts w:ascii="Arial" w:eastAsia="Arial Unicode MS" w:hAnsi="Arial" w:cs="Arial Unicode MS"/>
          <w:sz w:val="20"/>
          <w:szCs w:val="20"/>
          <w:bdr w:val="nil"/>
        </w:rPr>
        <w:t>second</w:t>
      </w:r>
      <w:r w:rsidR="00065B54" w:rsidRPr="00562BE3">
        <w:rPr>
          <w:rFonts w:ascii="Arial" w:eastAsia="Arial Unicode MS" w:hAnsi="Arial" w:cs="Arial Unicode MS"/>
          <w:sz w:val="20"/>
          <w:szCs w:val="20"/>
          <w:bdr w:val="nil"/>
        </w:rPr>
        <w:t xml:space="preserve"> half of 2022 and into 2023</w:t>
      </w:r>
      <w:bookmarkEnd w:id="0"/>
      <w:r w:rsidR="00196E78">
        <w:rPr>
          <w:rFonts w:ascii="Arial" w:eastAsia="Arial Unicode MS" w:hAnsi="Arial" w:cs="Arial Unicode MS"/>
          <w:sz w:val="20"/>
          <w:szCs w:val="20"/>
          <w:bdr w:val="nil"/>
        </w:rPr>
        <w:t xml:space="preserve">, demonstrating the strong </w:t>
      </w:r>
      <w:r w:rsidR="003075AB">
        <w:rPr>
          <w:rFonts w:ascii="Arial" w:eastAsia="Arial Unicode MS" w:hAnsi="Arial" w:cs="Arial Unicode MS"/>
          <w:sz w:val="20"/>
          <w:szCs w:val="20"/>
          <w:bdr w:val="nil"/>
        </w:rPr>
        <w:t xml:space="preserve">fundamental </w:t>
      </w:r>
      <w:r w:rsidR="00196E78">
        <w:rPr>
          <w:rFonts w:ascii="Arial" w:eastAsia="Arial Unicode MS" w:hAnsi="Arial" w:cs="Arial Unicode MS"/>
          <w:sz w:val="20"/>
          <w:szCs w:val="20"/>
          <w:bdr w:val="nil"/>
        </w:rPr>
        <w:t>demand for our cruise offerings</w:t>
      </w:r>
      <w:r w:rsidR="00B307A2" w:rsidRPr="00562BE3">
        <w:rPr>
          <w:rFonts w:ascii="Arial" w:eastAsia="Arial Unicode MS" w:hAnsi="Arial" w:cs="Arial Unicode MS"/>
          <w:sz w:val="20"/>
          <w:szCs w:val="20"/>
          <w:bdr w:val="nil"/>
        </w:rPr>
        <w:t>.</w:t>
      </w:r>
      <w:r w:rsidR="00774858" w:rsidRPr="00562BE3">
        <w:rPr>
          <w:rFonts w:ascii="Arial" w:eastAsia="Arial Unicode MS" w:hAnsi="Arial" w:cs="Arial Unicode MS"/>
          <w:sz w:val="20"/>
          <w:szCs w:val="20"/>
          <w:bdr w:val="nil"/>
        </w:rPr>
        <w:t>”</w:t>
      </w:r>
      <w:proofErr w:type="gramEnd"/>
      <w:r w:rsidR="00774858" w:rsidRPr="00562BE3">
        <w:rPr>
          <w:rFonts w:ascii="Arial" w:eastAsia="Arial Unicode MS" w:hAnsi="Arial" w:cs="Arial Unicode MS"/>
          <w:sz w:val="20"/>
          <w:szCs w:val="20"/>
          <w:bdr w:val="nil"/>
        </w:rPr>
        <w:t xml:space="preserve"> </w:t>
      </w:r>
    </w:p>
    <w:p w14:paraId="22D7D6EE" w14:textId="1A1CFDB4" w:rsidR="00C62CDF" w:rsidRPr="00562BE3" w:rsidRDefault="00C62CDF" w:rsidP="0064326C">
      <w:pPr>
        <w:pStyle w:val="Sinespaciado"/>
        <w:spacing w:line="360" w:lineRule="auto"/>
        <w:jc w:val="both"/>
        <w:rPr>
          <w:rFonts w:ascii="Arial" w:eastAsia="Arial Unicode MS" w:hAnsi="Arial" w:cs="Arial Unicode MS"/>
          <w:b/>
          <w:bCs/>
          <w:sz w:val="20"/>
          <w:szCs w:val="20"/>
          <w:u w:val="single"/>
          <w:bdr w:val="nil"/>
        </w:rPr>
      </w:pPr>
      <w:r w:rsidRPr="00562BE3">
        <w:rPr>
          <w:rFonts w:ascii="Arial" w:eastAsia="Arial Unicode MS" w:hAnsi="Arial" w:cs="Arial Unicode MS"/>
          <w:b/>
          <w:bCs/>
          <w:sz w:val="20"/>
          <w:szCs w:val="20"/>
          <w:u w:val="single"/>
          <w:bdr w:val="nil"/>
        </w:rPr>
        <w:t>Re</w:t>
      </w:r>
      <w:r w:rsidR="00330EE8" w:rsidRPr="00562BE3">
        <w:rPr>
          <w:rFonts w:ascii="Arial" w:eastAsia="Arial Unicode MS" w:hAnsi="Arial" w:cs="Arial Unicode MS"/>
          <w:b/>
          <w:bCs/>
          <w:sz w:val="20"/>
          <w:szCs w:val="20"/>
          <w:u w:val="single"/>
          <w:bdr w:val="nil"/>
        </w:rPr>
        <w:t>sumption of Cruise Operations</w:t>
      </w:r>
    </w:p>
    <w:p w14:paraId="54025C03" w14:textId="591F3825" w:rsidR="00E45CE7" w:rsidRPr="00562BE3" w:rsidRDefault="00847E4B" w:rsidP="007F3002">
      <w:pPr>
        <w:pStyle w:val="Sinespaciado"/>
        <w:spacing w:line="360" w:lineRule="auto"/>
        <w:jc w:val="both"/>
        <w:rPr>
          <w:rFonts w:ascii="Arial" w:eastAsia="Arial Unicode MS" w:hAnsi="Arial" w:cs="Arial Unicode MS"/>
          <w:sz w:val="20"/>
          <w:szCs w:val="20"/>
          <w:bdr w:val="nil"/>
        </w:rPr>
      </w:pPr>
      <w:r w:rsidRPr="00562BE3">
        <w:rPr>
          <w:rFonts w:ascii="Arial" w:eastAsia="Arial Unicode MS" w:hAnsi="Arial" w:cs="Arial Unicode MS"/>
          <w:sz w:val="20"/>
          <w:szCs w:val="20"/>
          <w:bdr w:val="nil"/>
        </w:rPr>
        <w:t>The Company</w:t>
      </w:r>
      <w:r w:rsidR="004C3E3E" w:rsidRPr="00562BE3">
        <w:rPr>
          <w:rFonts w:ascii="Arial" w:eastAsia="Arial Unicode MS" w:hAnsi="Arial" w:cs="Arial Unicode MS"/>
          <w:sz w:val="20"/>
          <w:szCs w:val="20"/>
          <w:bdr w:val="nil"/>
        </w:rPr>
        <w:t xml:space="preserve"> continues to execute </w:t>
      </w:r>
      <w:r w:rsidR="0084695A" w:rsidRPr="00562BE3">
        <w:rPr>
          <w:rFonts w:ascii="Arial" w:eastAsia="Arial Unicode MS" w:hAnsi="Arial" w:cs="Arial Unicode MS"/>
          <w:sz w:val="20"/>
          <w:szCs w:val="20"/>
          <w:bdr w:val="nil"/>
        </w:rPr>
        <w:t xml:space="preserve">on </w:t>
      </w:r>
      <w:r w:rsidR="007C2263" w:rsidRPr="00562BE3">
        <w:rPr>
          <w:rFonts w:ascii="Arial" w:eastAsia="Arial Unicode MS" w:hAnsi="Arial" w:cs="Arial Unicode MS"/>
          <w:sz w:val="20"/>
          <w:szCs w:val="20"/>
          <w:bdr w:val="nil"/>
        </w:rPr>
        <w:t xml:space="preserve">the </w:t>
      </w:r>
      <w:r w:rsidRPr="00562BE3">
        <w:rPr>
          <w:rFonts w:ascii="Arial" w:eastAsia="Arial Unicode MS" w:hAnsi="Arial" w:cs="Arial Unicode MS"/>
          <w:sz w:val="20"/>
          <w:szCs w:val="20"/>
          <w:bdr w:val="nil"/>
        </w:rPr>
        <w:t xml:space="preserve">phased relaunch plans </w:t>
      </w:r>
      <w:r w:rsidR="0084695A" w:rsidRPr="00562BE3">
        <w:rPr>
          <w:rFonts w:ascii="Arial" w:eastAsia="Arial Unicode MS" w:hAnsi="Arial" w:cs="Arial Unicode MS"/>
          <w:sz w:val="20"/>
          <w:szCs w:val="20"/>
          <w:bdr w:val="nil"/>
        </w:rPr>
        <w:t xml:space="preserve">for </w:t>
      </w:r>
      <w:r w:rsidR="007C2263" w:rsidRPr="00562BE3">
        <w:rPr>
          <w:rFonts w:ascii="Arial" w:eastAsia="Arial Unicode MS" w:hAnsi="Arial" w:cs="Arial Unicode MS"/>
          <w:sz w:val="20"/>
          <w:szCs w:val="20"/>
          <w:bdr w:val="nil"/>
        </w:rPr>
        <w:t>its</w:t>
      </w:r>
      <w:r w:rsidRPr="00562BE3">
        <w:rPr>
          <w:rFonts w:ascii="Arial" w:eastAsia="Arial Unicode MS" w:hAnsi="Arial" w:cs="Arial Unicode MS"/>
          <w:sz w:val="20"/>
          <w:szCs w:val="20"/>
          <w:bdr w:val="nil"/>
        </w:rPr>
        <w:t xml:space="preserve"> </w:t>
      </w:r>
      <w:r w:rsidR="00F95300" w:rsidRPr="00562BE3">
        <w:rPr>
          <w:rFonts w:ascii="Arial" w:eastAsia="Arial Unicode MS" w:hAnsi="Arial" w:cs="Arial Unicode MS"/>
          <w:sz w:val="20"/>
          <w:szCs w:val="20"/>
          <w:bdr w:val="nil"/>
        </w:rPr>
        <w:t>28-ship</w:t>
      </w:r>
      <w:r w:rsidR="007C2263" w:rsidRPr="00562BE3">
        <w:rPr>
          <w:rFonts w:ascii="Arial" w:eastAsia="Arial Unicode MS" w:hAnsi="Arial" w:cs="Arial Unicode MS"/>
          <w:sz w:val="20"/>
          <w:szCs w:val="20"/>
          <w:bdr w:val="nil"/>
        </w:rPr>
        <w:t xml:space="preserve"> fleet</w:t>
      </w:r>
      <w:r w:rsidRPr="00562BE3">
        <w:rPr>
          <w:rFonts w:ascii="Arial" w:eastAsia="Arial Unicode MS" w:hAnsi="Arial" w:cs="Arial Unicode MS"/>
          <w:sz w:val="20"/>
          <w:szCs w:val="20"/>
          <w:bdr w:val="nil"/>
        </w:rPr>
        <w:t>.</w:t>
      </w:r>
      <w:r w:rsidR="008A3DC4" w:rsidRPr="00562BE3">
        <w:rPr>
          <w:rFonts w:ascii="Arial" w:eastAsia="Arial Unicode MS" w:hAnsi="Arial" w:cs="Arial Unicode MS"/>
          <w:sz w:val="20"/>
          <w:szCs w:val="20"/>
          <w:bdr w:val="nil"/>
        </w:rPr>
        <w:t xml:space="preserve"> </w:t>
      </w:r>
      <w:r w:rsidR="006125D6" w:rsidRPr="00562BE3">
        <w:rPr>
          <w:rFonts w:ascii="Arial" w:eastAsia="Arial Unicode MS" w:hAnsi="Arial" w:cs="Arial Unicode MS"/>
          <w:sz w:val="20"/>
          <w:szCs w:val="20"/>
          <w:bdr w:val="nil"/>
        </w:rPr>
        <w:t>Beginning in December 2021, the spread of the Omicron variant of COVID-19, with its increased transmissibility, caused several operational challenges and disruptions, including</w:t>
      </w:r>
      <w:r w:rsidR="00B34676">
        <w:rPr>
          <w:rFonts w:ascii="Arial" w:eastAsia="Arial Unicode MS" w:hAnsi="Arial" w:cs="Arial Unicode MS"/>
          <w:sz w:val="20"/>
          <w:szCs w:val="20"/>
          <w:bdr w:val="nil"/>
        </w:rPr>
        <w:t xml:space="preserve"> additional</w:t>
      </w:r>
      <w:r w:rsidR="006125D6" w:rsidRPr="00562BE3">
        <w:rPr>
          <w:rFonts w:ascii="Arial" w:eastAsia="Arial Unicode MS" w:hAnsi="Arial" w:cs="Arial Unicode MS"/>
          <w:sz w:val="20"/>
          <w:szCs w:val="20"/>
          <w:bdr w:val="nil"/>
        </w:rPr>
        <w:t xml:space="preserve"> travel restrictions</w:t>
      </w:r>
      <w:r w:rsidR="00592BB7">
        <w:rPr>
          <w:rFonts w:ascii="Arial" w:eastAsia="Arial Unicode MS" w:hAnsi="Arial" w:cs="Arial Unicode MS"/>
          <w:sz w:val="20"/>
          <w:szCs w:val="20"/>
          <w:bdr w:val="nil"/>
        </w:rPr>
        <w:t xml:space="preserve">, </w:t>
      </w:r>
      <w:r w:rsidR="006125D6" w:rsidRPr="00562BE3">
        <w:rPr>
          <w:rFonts w:ascii="Arial" w:eastAsia="Arial Unicode MS" w:hAnsi="Arial" w:cs="Arial Unicode MS"/>
          <w:sz w:val="20"/>
          <w:szCs w:val="20"/>
          <w:bdr w:val="nil"/>
        </w:rPr>
        <w:t xml:space="preserve">increased </w:t>
      </w:r>
      <w:r w:rsidR="00544F45">
        <w:rPr>
          <w:rFonts w:ascii="Arial" w:eastAsia="Arial Unicode MS" w:hAnsi="Arial" w:cs="Arial Unicode MS"/>
          <w:sz w:val="20"/>
          <w:szCs w:val="20"/>
          <w:bdr w:val="nil"/>
        </w:rPr>
        <w:t xml:space="preserve">health-related </w:t>
      </w:r>
      <w:r w:rsidR="006125D6" w:rsidRPr="00562BE3">
        <w:rPr>
          <w:rFonts w:ascii="Arial" w:eastAsia="Arial Unicode MS" w:hAnsi="Arial" w:cs="Arial Unicode MS"/>
          <w:sz w:val="20"/>
          <w:szCs w:val="20"/>
          <w:bdr w:val="nil"/>
        </w:rPr>
        <w:t>protocols</w:t>
      </w:r>
      <w:r w:rsidR="00592BB7">
        <w:rPr>
          <w:rFonts w:ascii="Arial" w:eastAsia="Arial Unicode MS" w:hAnsi="Arial" w:cs="Arial Unicode MS"/>
          <w:sz w:val="20"/>
          <w:szCs w:val="20"/>
          <w:bdr w:val="nil"/>
        </w:rPr>
        <w:t xml:space="preserve">, and </w:t>
      </w:r>
      <w:r w:rsidR="00544F45">
        <w:rPr>
          <w:rFonts w:ascii="Arial" w:eastAsia="Arial Unicode MS" w:hAnsi="Arial" w:cs="Arial Unicode MS"/>
          <w:sz w:val="20"/>
          <w:szCs w:val="20"/>
          <w:bdr w:val="nil"/>
        </w:rPr>
        <w:t xml:space="preserve">certain </w:t>
      </w:r>
      <w:r w:rsidR="00592BB7">
        <w:rPr>
          <w:rFonts w:ascii="Arial" w:eastAsia="Arial Unicode MS" w:hAnsi="Arial" w:cs="Arial Unicode MS"/>
          <w:sz w:val="20"/>
          <w:szCs w:val="20"/>
          <w:bdr w:val="nil"/>
        </w:rPr>
        <w:t>port closures</w:t>
      </w:r>
      <w:r w:rsidR="006125D6" w:rsidRPr="00562BE3">
        <w:rPr>
          <w:rFonts w:ascii="Arial" w:eastAsia="Arial Unicode MS" w:hAnsi="Arial" w:cs="Arial Unicode MS"/>
          <w:sz w:val="20"/>
          <w:szCs w:val="20"/>
          <w:bdr w:val="nil"/>
        </w:rPr>
        <w:t xml:space="preserve">, which led to the </w:t>
      </w:r>
      <w:r w:rsidR="00196E78">
        <w:rPr>
          <w:rFonts w:ascii="Arial" w:eastAsia="Arial Unicode MS" w:hAnsi="Arial" w:cs="Arial Unicode MS"/>
          <w:sz w:val="20"/>
          <w:szCs w:val="20"/>
          <w:bdr w:val="nil"/>
        </w:rPr>
        <w:t xml:space="preserve">temporary and voluntary </w:t>
      </w:r>
      <w:r w:rsidR="006125D6" w:rsidRPr="00562BE3">
        <w:rPr>
          <w:rFonts w:ascii="Arial" w:eastAsia="Arial Unicode MS" w:hAnsi="Arial" w:cs="Arial Unicode MS"/>
          <w:sz w:val="20"/>
          <w:szCs w:val="20"/>
          <w:bdr w:val="nil"/>
        </w:rPr>
        <w:t xml:space="preserve">cancellation of certain voyages in the fourth quarter of 2021 and first quarter of 2022, and the postponement of the restart of certain </w:t>
      </w:r>
      <w:r w:rsidR="00544F45">
        <w:rPr>
          <w:rFonts w:ascii="Arial" w:eastAsia="Arial Unicode MS" w:hAnsi="Arial" w:cs="Arial Unicode MS"/>
          <w:sz w:val="20"/>
          <w:szCs w:val="20"/>
          <w:bdr w:val="nil"/>
        </w:rPr>
        <w:t xml:space="preserve">of our </w:t>
      </w:r>
      <w:r w:rsidR="006125D6" w:rsidRPr="00562BE3">
        <w:rPr>
          <w:rFonts w:ascii="Arial" w:eastAsia="Arial Unicode MS" w:hAnsi="Arial" w:cs="Arial Unicode MS"/>
          <w:sz w:val="20"/>
          <w:szCs w:val="20"/>
          <w:bdr w:val="nil"/>
        </w:rPr>
        <w:t xml:space="preserve">vessels. By year end 2021, </w:t>
      </w:r>
      <w:r w:rsidR="00612DBC" w:rsidRPr="00562BE3">
        <w:rPr>
          <w:rFonts w:ascii="Arial" w:eastAsia="Arial Unicode MS" w:hAnsi="Arial" w:cs="Arial Unicode MS"/>
          <w:sz w:val="20"/>
          <w:szCs w:val="20"/>
          <w:bdr w:val="nil"/>
        </w:rPr>
        <w:t>t</w:t>
      </w:r>
      <w:r w:rsidR="008A3DC4" w:rsidRPr="00562BE3">
        <w:rPr>
          <w:rFonts w:ascii="Arial" w:eastAsia="Arial Unicode MS" w:hAnsi="Arial" w:cs="Arial Unicode MS"/>
          <w:sz w:val="20"/>
          <w:szCs w:val="20"/>
          <w:bdr w:val="nil"/>
        </w:rPr>
        <w:t xml:space="preserve">he Company </w:t>
      </w:r>
      <w:r w:rsidR="004C3E3E" w:rsidRPr="00562BE3">
        <w:rPr>
          <w:rFonts w:ascii="Arial" w:eastAsia="Arial Unicode MS" w:hAnsi="Arial" w:cs="Arial Unicode MS"/>
          <w:sz w:val="20"/>
          <w:szCs w:val="20"/>
          <w:bdr w:val="nil"/>
        </w:rPr>
        <w:t xml:space="preserve">had approximately </w:t>
      </w:r>
      <w:r w:rsidR="001235AB" w:rsidRPr="00562BE3">
        <w:rPr>
          <w:rFonts w:ascii="Arial" w:eastAsia="Arial Unicode MS" w:hAnsi="Arial" w:cs="Arial Unicode MS"/>
          <w:sz w:val="20"/>
          <w:szCs w:val="20"/>
          <w:bdr w:val="nil"/>
        </w:rPr>
        <w:t>70</w:t>
      </w:r>
      <w:r w:rsidR="008A3DC4" w:rsidRPr="00562BE3">
        <w:rPr>
          <w:rFonts w:ascii="Arial" w:eastAsia="Arial Unicode MS" w:hAnsi="Arial" w:cs="Arial Unicode MS"/>
          <w:sz w:val="20"/>
          <w:szCs w:val="20"/>
          <w:bdr w:val="nil"/>
        </w:rPr>
        <w:t xml:space="preserve">% of </w:t>
      </w:r>
      <w:r w:rsidR="00025162" w:rsidRPr="00562BE3">
        <w:rPr>
          <w:rFonts w:ascii="Arial" w:eastAsia="Arial Unicode MS" w:hAnsi="Arial" w:cs="Arial Unicode MS"/>
          <w:sz w:val="20"/>
          <w:szCs w:val="20"/>
          <w:bdr w:val="nil"/>
        </w:rPr>
        <w:t xml:space="preserve">its </w:t>
      </w:r>
      <w:r w:rsidR="008A3DC4" w:rsidRPr="00562BE3">
        <w:rPr>
          <w:rFonts w:ascii="Arial" w:eastAsia="Arial Unicode MS" w:hAnsi="Arial" w:cs="Arial Unicode MS"/>
          <w:sz w:val="20"/>
          <w:szCs w:val="20"/>
          <w:bdr w:val="nil"/>
        </w:rPr>
        <w:t>capacity operating</w:t>
      </w:r>
      <w:r w:rsidR="008835FD" w:rsidRPr="00562BE3">
        <w:rPr>
          <w:rFonts w:ascii="Arial" w:eastAsia="Arial Unicode MS" w:hAnsi="Arial" w:cs="Arial Unicode MS"/>
          <w:sz w:val="20"/>
          <w:szCs w:val="20"/>
          <w:bdr w:val="nil"/>
        </w:rPr>
        <w:t xml:space="preserve">, </w:t>
      </w:r>
      <w:r w:rsidR="009B4105">
        <w:rPr>
          <w:rFonts w:ascii="Arial" w:eastAsia="Arial Unicode MS" w:hAnsi="Arial" w:cs="Arial Unicode MS"/>
          <w:sz w:val="20"/>
          <w:szCs w:val="20"/>
          <w:bdr w:val="nil"/>
        </w:rPr>
        <w:t xml:space="preserve">or 75% </w:t>
      </w:r>
      <w:r w:rsidR="00082EC9">
        <w:rPr>
          <w:rFonts w:ascii="Arial" w:eastAsia="Arial Unicode MS" w:hAnsi="Arial" w:cs="Arial Unicode MS"/>
          <w:sz w:val="20"/>
          <w:szCs w:val="20"/>
          <w:bdr w:val="nil"/>
        </w:rPr>
        <w:t xml:space="preserve">when including </w:t>
      </w:r>
      <w:r w:rsidR="008835FD" w:rsidRPr="00562BE3">
        <w:rPr>
          <w:rFonts w:ascii="Arial" w:eastAsia="Arial Unicode MS" w:hAnsi="Arial" w:cs="Arial Unicode MS"/>
          <w:sz w:val="20"/>
          <w:szCs w:val="20"/>
          <w:bdr w:val="nil"/>
        </w:rPr>
        <w:t xml:space="preserve">a vessel </w:t>
      </w:r>
      <w:r w:rsidR="00612DBC" w:rsidRPr="00562BE3">
        <w:rPr>
          <w:rFonts w:ascii="Arial" w:eastAsia="Arial Unicode MS" w:hAnsi="Arial" w:cs="Arial Unicode MS"/>
          <w:sz w:val="20"/>
          <w:szCs w:val="20"/>
          <w:bdr w:val="nil"/>
        </w:rPr>
        <w:t>that</w:t>
      </w:r>
      <w:r w:rsidR="008835FD" w:rsidRPr="00562BE3">
        <w:rPr>
          <w:rFonts w:ascii="Arial" w:eastAsia="Arial Unicode MS" w:hAnsi="Arial" w:cs="Arial Unicode MS"/>
          <w:sz w:val="20"/>
          <w:szCs w:val="20"/>
          <w:bdr w:val="nil"/>
        </w:rPr>
        <w:t xml:space="preserve"> had returned to service and subsequently paused </w:t>
      </w:r>
      <w:r w:rsidR="008502F7">
        <w:rPr>
          <w:rFonts w:ascii="Arial" w:eastAsia="Arial Unicode MS" w:hAnsi="Arial" w:cs="Arial Unicode MS"/>
          <w:sz w:val="20"/>
          <w:szCs w:val="20"/>
          <w:bdr w:val="nil"/>
        </w:rPr>
        <w:t>due to</w:t>
      </w:r>
      <w:r w:rsidR="008835FD" w:rsidRPr="00562BE3">
        <w:rPr>
          <w:rFonts w:ascii="Arial" w:eastAsia="Arial Unicode MS" w:hAnsi="Arial" w:cs="Arial Unicode MS"/>
          <w:sz w:val="20"/>
          <w:szCs w:val="20"/>
          <w:bdr w:val="nil"/>
        </w:rPr>
        <w:t xml:space="preserve"> </w:t>
      </w:r>
      <w:r w:rsidR="00544F45">
        <w:rPr>
          <w:rFonts w:ascii="Arial" w:eastAsia="Arial Unicode MS" w:hAnsi="Arial" w:cs="Arial Unicode MS"/>
          <w:sz w:val="20"/>
          <w:szCs w:val="20"/>
          <w:bdr w:val="nil"/>
        </w:rPr>
        <w:t xml:space="preserve">the inoperability of </w:t>
      </w:r>
      <w:r w:rsidR="008502F7">
        <w:rPr>
          <w:rFonts w:ascii="Arial" w:eastAsia="Arial Unicode MS" w:hAnsi="Arial" w:cs="Arial Unicode MS"/>
          <w:sz w:val="20"/>
          <w:szCs w:val="20"/>
          <w:bdr w:val="nil"/>
        </w:rPr>
        <w:t xml:space="preserve">its scheduled </w:t>
      </w:r>
      <w:r w:rsidR="008835FD" w:rsidRPr="00562BE3">
        <w:rPr>
          <w:rFonts w:ascii="Arial" w:eastAsia="Arial Unicode MS" w:hAnsi="Arial" w:cs="Arial Unicode MS"/>
          <w:sz w:val="20"/>
          <w:szCs w:val="20"/>
          <w:bdr w:val="nil"/>
        </w:rPr>
        <w:t xml:space="preserve">voyages in South Africa during the height of </w:t>
      </w:r>
      <w:r w:rsidR="006125D6" w:rsidRPr="00562BE3">
        <w:rPr>
          <w:rFonts w:ascii="Arial" w:eastAsia="Arial Unicode MS" w:hAnsi="Arial" w:cs="Arial Unicode MS"/>
          <w:sz w:val="20"/>
          <w:szCs w:val="20"/>
          <w:bdr w:val="nil"/>
        </w:rPr>
        <w:t>its</w:t>
      </w:r>
      <w:r w:rsidR="008835FD" w:rsidRPr="00562BE3">
        <w:rPr>
          <w:rFonts w:ascii="Arial" w:eastAsia="Arial Unicode MS" w:hAnsi="Arial" w:cs="Arial Unicode MS"/>
          <w:sz w:val="20"/>
          <w:szCs w:val="20"/>
          <w:bdr w:val="nil"/>
        </w:rPr>
        <w:t xml:space="preserve"> Omicron surge.</w:t>
      </w:r>
      <w:r w:rsidR="001238CC" w:rsidRPr="00562BE3">
        <w:rPr>
          <w:rFonts w:ascii="Arial" w:eastAsia="Arial Unicode MS" w:hAnsi="Arial" w:cs="Arial Unicode MS"/>
          <w:sz w:val="20"/>
          <w:szCs w:val="20"/>
          <w:bdr w:val="nil"/>
        </w:rPr>
        <w:t xml:space="preserve"> </w:t>
      </w:r>
      <w:r w:rsidR="008835FD" w:rsidRPr="00562BE3">
        <w:rPr>
          <w:rFonts w:ascii="Arial" w:eastAsia="Arial Unicode MS" w:hAnsi="Arial" w:cs="Arial Unicode MS"/>
          <w:sz w:val="20"/>
          <w:szCs w:val="20"/>
          <w:bdr w:val="nil"/>
        </w:rPr>
        <w:t xml:space="preserve"> </w:t>
      </w:r>
      <w:bookmarkStart w:id="1" w:name="_Hlk96520086"/>
      <w:r w:rsidR="007551A2" w:rsidRPr="00D06825">
        <w:rPr>
          <w:rFonts w:ascii="Arial" w:eastAsia="Arial Unicode MS" w:hAnsi="Arial" w:cs="Arial Unicode MS"/>
          <w:sz w:val="20"/>
          <w:szCs w:val="20"/>
          <w:bdr w:val="nil"/>
        </w:rPr>
        <w:t>Strong ticket pricing and onboard revenue spend drove positive contribution from the fleet that operated in the quarter.</w:t>
      </w:r>
      <w:bookmarkEnd w:id="1"/>
      <w:r w:rsidR="007551A2" w:rsidRPr="00562BE3">
        <w:rPr>
          <w:rFonts w:ascii="Arial" w:eastAsia="Arial Unicode MS" w:hAnsi="Arial" w:cs="Arial Unicode MS"/>
          <w:sz w:val="20"/>
          <w:szCs w:val="20"/>
          <w:bdr w:val="nil"/>
        </w:rPr>
        <w:t xml:space="preserve"> </w:t>
      </w:r>
      <w:r w:rsidR="001B3F0C" w:rsidRPr="00562BE3">
        <w:rPr>
          <w:rFonts w:ascii="Arial" w:eastAsia="Arial Unicode MS" w:hAnsi="Arial" w:cs="Arial Unicode MS"/>
          <w:sz w:val="20"/>
          <w:szCs w:val="20"/>
          <w:bdr w:val="nil"/>
        </w:rPr>
        <w:lastRenderedPageBreak/>
        <w:t xml:space="preserve">Occupancy in the </w:t>
      </w:r>
      <w:r w:rsidR="0020114E" w:rsidRPr="00562BE3">
        <w:rPr>
          <w:rFonts w:ascii="Arial" w:eastAsia="Arial Unicode MS" w:hAnsi="Arial" w:cs="Arial Unicode MS"/>
          <w:sz w:val="20"/>
          <w:szCs w:val="20"/>
          <w:bdr w:val="nil"/>
        </w:rPr>
        <w:t>fourth</w:t>
      </w:r>
      <w:r w:rsidR="001B3F0C" w:rsidRPr="00562BE3">
        <w:rPr>
          <w:rFonts w:ascii="Arial" w:eastAsia="Arial Unicode MS" w:hAnsi="Arial" w:cs="Arial Unicode MS"/>
          <w:sz w:val="20"/>
          <w:szCs w:val="20"/>
          <w:bdr w:val="nil"/>
        </w:rPr>
        <w:t xml:space="preserve"> quarter </w:t>
      </w:r>
      <w:r w:rsidR="004B194F">
        <w:rPr>
          <w:rFonts w:ascii="Arial" w:eastAsia="Arial Unicode MS" w:hAnsi="Arial" w:cs="Arial Unicode MS"/>
          <w:sz w:val="20"/>
          <w:szCs w:val="20"/>
          <w:bdr w:val="nil"/>
        </w:rPr>
        <w:t xml:space="preserve">of </w:t>
      </w:r>
      <w:r w:rsidR="001B3F0C" w:rsidRPr="00562BE3">
        <w:rPr>
          <w:rFonts w:ascii="Arial" w:eastAsia="Arial Unicode MS" w:hAnsi="Arial" w:cs="Arial Unicode MS"/>
          <w:sz w:val="20"/>
          <w:szCs w:val="20"/>
          <w:bdr w:val="nil"/>
        </w:rPr>
        <w:t xml:space="preserve">2021 was </w:t>
      </w:r>
      <w:r w:rsidR="0063546F" w:rsidRPr="00D34391">
        <w:rPr>
          <w:rFonts w:ascii="Arial" w:eastAsia="Arial Unicode MS" w:hAnsi="Arial" w:cs="Arial Unicode MS"/>
          <w:sz w:val="20"/>
          <w:szCs w:val="20"/>
          <w:bdr w:val="nil"/>
        </w:rPr>
        <w:t>51</w:t>
      </w:r>
      <w:r w:rsidR="00D34391">
        <w:rPr>
          <w:rFonts w:ascii="Arial" w:eastAsia="Arial Unicode MS" w:hAnsi="Arial" w:cs="Arial Unicode MS"/>
          <w:sz w:val="20"/>
          <w:szCs w:val="20"/>
          <w:bdr w:val="nil"/>
        </w:rPr>
        <w:t>.4</w:t>
      </w:r>
      <w:r w:rsidR="001B3F0C" w:rsidRPr="00562BE3">
        <w:rPr>
          <w:rFonts w:ascii="Arial" w:eastAsia="Arial Unicode MS" w:hAnsi="Arial" w:cs="Arial Unicode MS"/>
          <w:sz w:val="20"/>
          <w:szCs w:val="20"/>
          <w:bdr w:val="nil"/>
        </w:rPr>
        <w:t>%</w:t>
      </w:r>
      <w:r w:rsidR="00EA4156" w:rsidRPr="00562BE3">
        <w:rPr>
          <w:rFonts w:ascii="Arial" w:eastAsia="Arial Unicode MS" w:hAnsi="Arial" w:cs="Arial Unicode MS"/>
          <w:sz w:val="20"/>
          <w:szCs w:val="20"/>
          <w:bdr w:val="nil"/>
        </w:rPr>
        <w:t xml:space="preserve"> </w:t>
      </w:r>
      <w:r w:rsidR="009B4105" w:rsidRPr="00562BE3">
        <w:rPr>
          <w:rFonts w:ascii="Arial" w:eastAsia="Arial Unicode MS" w:hAnsi="Arial" w:cs="Arial Unicode MS"/>
          <w:sz w:val="20"/>
          <w:szCs w:val="20"/>
          <w:bdr w:val="nil"/>
        </w:rPr>
        <w:t>reflecting the Company’s self-imposed occupancy limits</w:t>
      </w:r>
      <w:r w:rsidR="00544F45">
        <w:rPr>
          <w:rFonts w:ascii="Arial" w:eastAsia="Arial Unicode MS" w:hAnsi="Arial" w:cs="Arial Unicode MS"/>
          <w:sz w:val="20"/>
          <w:szCs w:val="20"/>
          <w:bdr w:val="nil"/>
        </w:rPr>
        <w:t xml:space="preserve">, the effect of </w:t>
      </w:r>
      <w:r w:rsidR="00592BB7">
        <w:rPr>
          <w:rFonts w:ascii="Arial" w:eastAsia="Arial Unicode MS" w:hAnsi="Arial" w:cs="Arial Unicode MS"/>
          <w:sz w:val="20"/>
          <w:szCs w:val="20"/>
          <w:bdr w:val="nil"/>
        </w:rPr>
        <w:t xml:space="preserve">COVID-related booking </w:t>
      </w:r>
      <w:r w:rsidR="009B4105" w:rsidRPr="00562BE3">
        <w:rPr>
          <w:rFonts w:ascii="Arial" w:eastAsia="Arial Unicode MS" w:hAnsi="Arial" w:cs="Arial Unicode MS"/>
          <w:sz w:val="20"/>
          <w:szCs w:val="20"/>
          <w:bdr w:val="nil"/>
        </w:rPr>
        <w:t>cancellations</w:t>
      </w:r>
      <w:r w:rsidR="00544F45">
        <w:rPr>
          <w:rFonts w:ascii="Arial" w:eastAsia="Arial Unicode MS" w:hAnsi="Arial" w:cs="Arial Unicode MS"/>
          <w:sz w:val="20"/>
          <w:szCs w:val="20"/>
          <w:bdr w:val="nil"/>
        </w:rPr>
        <w:t xml:space="preserve"> and</w:t>
      </w:r>
      <w:r w:rsidR="00EA4156" w:rsidRPr="00562BE3">
        <w:rPr>
          <w:rFonts w:ascii="Arial" w:eastAsia="Arial Unicode MS" w:hAnsi="Arial" w:cs="Arial Unicode MS"/>
          <w:sz w:val="20"/>
          <w:szCs w:val="20"/>
          <w:bdr w:val="nil"/>
        </w:rPr>
        <w:t xml:space="preserve"> a </w:t>
      </w:r>
      <w:r w:rsidR="00592BB7">
        <w:rPr>
          <w:rFonts w:ascii="Arial" w:eastAsia="Arial Unicode MS" w:hAnsi="Arial" w:cs="Arial Unicode MS"/>
          <w:sz w:val="20"/>
          <w:szCs w:val="20"/>
          <w:bdr w:val="nil"/>
        </w:rPr>
        <w:t xml:space="preserve">significant </w:t>
      </w:r>
      <w:r w:rsidR="00EA4156" w:rsidRPr="00562BE3">
        <w:rPr>
          <w:rFonts w:ascii="Arial" w:eastAsia="Arial Unicode MS" w:hAnsi="Arial" w:cs="Arial Unicode MS"/>
          <w:sz w:val="20"/>
          <w:szCs w:val="20"/>
          <w:bdr w:val="nil"/>
        </w:rPr>
        <w:t xml:space="preserve">capacity increase </w:t>
      </w:r>
      <w:r w:rsidR="009B4105">
        <w:rPr>
          <w:rFonts w:ascii="Arial" w:eastAsia="Arial Unicode MS" w:hAnsi="Arial" w:cs="Arial Unicode MS"/>
          <w:sz w:val="20"/>
          <w:szCs w:val="20"/>
          <w:bdr w:val="nil"/>
        </w:rPr>
        <w:t>from the prior quarter.</w:t>
      </w:r>
      <w:r w:rsidR="004E5358" w:rsidRPr="00562BE3">
        <w:rPr>
          <w:rFonts w:ascii="Arial" w:eastAsia="Arial Unicode MS" w:hAnsi="Arial" w:cs="Arial Unicode MS"/>
          <w:sz w:val="20"/>
          <w:szCs w:val="20"/>
          <w:bdr w:val="nil"/>
        </w:rPr>
        <w:t xml:space="preserve"> </w:t>
      </w:r>
    </w:p>
    <w:p w14:paraId="77BCAF68" w14:textId="66276AD4" w:rsidR="00FF7BC3" w:rsidRPr="00562BE3" w:rsidRDefault="006125D6" w:rsidP="00FF7BC3">
      <w:pPr>
        <w:pStyle w:val="Sinespaciado"/>
        <w:spacing w:line="360" w:lineRule="auto"/>
        <w:jc w:val="both"/>
        <w:rPr>
          <w:rFonts w:ascii="Arial" w:eastAsia="Arial Unicode MS" w:hAnsi="Arial" w:cs="Arial Unicode MS"/>
          <w:b/>
          <w:bCs/>
          <w:sz w:val="20"/>
          <w:szCs w:val="20"/>
          <w:highlight w:val="yellow"/>
          <w:u w:val="single"/>
          <w:bdr w:val="nil"/>
        </w:rPr>
      </w:pPr>
      <w:r w:rsidRPr="00562BE3">
        <w:rPr>
          <w:rFonts w:ascii="Arial" w:eastAsia="Arial Unicode MS" w:hAnsi="Arial" w:cs="Arial Unicode MS"/>
          <w:sz w:val="20"/>
          <w:szCs w:val="20"/>
          <w:bdr w:val="nil"/>
        </w:rPr>
        <w:t>As a result of</w:t>
      </w:r>
      <w:r w:rsidR="00590ECE" w:rsidRPr="00562BE3">
        <w:rPr>
          <w:rFonts w:ascii="Arial" w:eastAsia="Arial Unicode MS" w:hAnsi="Arial" w:cs="Arial Unicode MS"/>
          <w:sz w:val="20"/>
          <w:szCs w:val="20"/>
          <w:bdr w:val="nil"/>
        </w:rPr>
        <w:t xml:space="preserve"> </w:t>
      </w:r>
      <w:r w:rsidRPr="00562BE3">
        <w:rPr>
          <w:rFonts w:ascii="Arial" w:eastAsia="Arial Unicode MS" w:hAnsi="Arial" w:cs="Arial Unicode MS"/>
          <w:sz w:val="20"/>
          <w:szCs w:val="20"/>
          <w:bdr w:val="nil"/>
        </w:rPr>
        <w:t xml:space="preserve">Omicron-related disruptions, the Company </w:t>
      </w:r>
      <w:r w:rsidR="00E45CE7" w:rsidRPr="00562BE3">
        <w:rPr>
          <w:rFonts w:ascii="Arial" w:eastAsia="Arial Unicode MS" w:hAnsi="Arial" w:cs="Arial Unicode MS"/>
          <w:sz w:val="20"/>
          <w:szCs w:val="20"/>
          <w:bdr w:val="nil"/>
        </w:rPr>
        <w:t xml:space="preserve">now </w:t>
      </w:r>
      <w:r w:rsidR="007D4090" w:rsidRPr="00562BE3">
        <w:rPr>
          <w:rFonts w:ascii="Arial" w:eastAsia="Arial Unicode MS" w:hAnsi="Arial" w:cs="Arial Unicode MS"/>
          <w:sz w:val="20"/>
          <w:szCs w:val="20"/>
          <w:bdr w:val="nil"/>
        </w:rPr>
        <w:t xml:space="preserve">expects </w:t>
      </w:r>
      <w:r w:rsidR="00E45CE7" w:rsidRPr="00562BE3">
        <w:rPr>
          <w:rFonts w:ascii="Arial" w:eastAsia="Arial Unicode MS" w:hAnsi="Arial" w:cs="Arial Unicode MS"/>
          <w:sz w:val="20"/>
          <w:szCs w:val="20"/>
          <w:bdr w:val="nil"/>
        </w:rPr>
        <w:t xml:space="preserve">to have </w:t>
      </w:r>
      <w:r w:rsidR="007D4090" w:rsidRPr="00D34391">
        <w:rPr>
          <w:rFonts w:ascii="Arial" w:eastAsia="Arial Unicode MS" w:hAnsi="Arial" w:cs="Arial Unicode MS"/>
          <w:sz w:val="20"/>
          <w:szCs w:val="20"/>
          <w:bdr w:val="nil"/>
        </w:rPr>
        <w:t>85</w:t>
      </w:r>
      <w:r w:rsidR="007D4090" w:rsidRPr="00562BE3">
        <w:rPr>
          <w:rFonts w:ascii="Arial" w:eastAsia="Arial Unicode MS" w:hAnsi="Arial" w:cs="Arial Unicode MS"/>
          <w:sz w:val="20"/>
          <w:szCs w:val="20"/>
          <w:bdr w:val="nil"/>
        </w:rPr>
        <w:t xml:space="preserve">% of its capacity operating </w:t>
      </w:r>
      <w:r w:rsidR="00544F45">
        <w:rPr>
          <w:rFonts w:ascii="Arial" w:eastAsia="Arial Unicode MS" w:hAnsi="Arial" w:cs="Arial Unicode MS"/>
          <w:sz w:val="20"/>
          <w:szCs w:val="20"/>
          <w:bdr w:val="nil"/>
        </w:rPr>
        <w:t>by</w:t>
      </w:r>
      <w:r w:rsidR="007D4090" w:rsidRPr="00562BE3">
        <w:rPr>
          <w:rFonts w:ascii="Arial" w:eastAsia="Arial Unicode MS" w:hAnsi="Arial" w:cs="Arial Unicode MS"/>
          <w:sz w:val="20"/>
          <w:szCs w:val="20"/>
          <w:bdr w:val="nil"/>
        </w:rPr>
        <w:t xml:space="preserve"> the end of the first quarter of 2022 with</w:t>
      </w:r>
      <w:r w:rsidR="00544F45">
        <w:rPr>
          <w:rFonts w:ascii="Arial" w:eastAsia="Arial Unicode MS" w:hAnsi="Arial" w:cs="Arial Unicode MS"/>
          <w:sz w:val="20"/>
          <w:szCs w:val="20"/>
          <w:bdr w:val="nil"/>
        </w:rPr>
        <w:t xml:space="preserve"> the</w:t>
      </w:r>
      <w:r w:rsidR="007D4090" w:rsidRPr="00562BE3">
        <w:rPr>
          <w:rFonts w:ascii="Arial" w:eastAsia="Arial Unicode MS" w:hAnsi="Arial" w:cs="Arial Unicode MS"/>
          <w:sz w:val="20"/>
          <w:szCs w:val="20"/>
          <w:bdr w:val="nil"/>
        </w:rPr>
        <w:t xml:space="preserve"> </w:t>
      </w:r>
      <w:r w:rsidR="008A3DC4" w:rsidRPr="00562BE3">
        <w:rPr>
          <w:rFonts w:ascii="Arial" w:eastAsia="Arial Unicode MS" w:hAnsi="Arial" w:cs="Arial Unicode MS"/>
          <w:sz w:val="20"/>
          <w:szCs w:val="20"/>
          <w:bdr w:val="nil"/>
        </w:rPr>
        <w:t xml:space="preserve">full fleet </w:t>
      </w:r>
      <w:r w:rsidR="0020114E" w:rsidRPr="00562BE3">
        <w:rPr>
          <w:rFonts w:ascii="Arial" w:eastAsia="Arial Unicode MS" w:hAnsi="Arial" w:cs="Arial Unicode MS"/>
          <w:sz w:val="20"/>
          <w:szCs w:val="20"/>
          <w:bdr w:val="nil"/>
        </w:rPr>
        <w:t>expected to</w:t>
      </w:r>
      <w:r w:rsidR="00D0014F">
        <w:rPr>
          <w:rFonts w:ascii="Arial" w:eastAsia="Arial Unicode MS" w:hAnsi="Arial" w:cs="Arial Unicode MS"/>
          <w:sz w:val="20"/>
          <w:szCs w:val="20"/>
          <w:bdr w:val="nil"/>
        </w:rPr>
        <w:t xml:space="preserve"> be</w:t>
      </w:r>
      <w:r w:rsidR="0020114E" w:rsidRPr="00562BE3">
        <w:rPr>
          <w:rFonts w:ascii="Arial" w:eastAsia="Arial Unicode MS" w:hAnsi="Arial" w:cs="Arial Unicode MS"/>
          <w:sz w:val="20"/>
          <w:szCs w:val="20"/>
          <w:bdr w:val="nil"/>
        </w:rPr>
        <w:t xml:space="preserve"> </w:t>
      </w:r>
      <w:r w:rsidR="008A3DC4" w:rsidRPr="00562BE3">
        <w:rPr>
          <w:rFonts w:ascii="Arial" w:eastAsia="Arial Unicode MS" w:hAnsi="Arial" w:cs="Arial Unicode MS"/>
          <w:sz w:val="20"/>
          <w:szCs w:val="20"/>
          <w:bdr w:val="nil"/>
        </w:rPr>
        <w:t>back in operation</w:t>
      </w:r>
      <w:r w:rsidR="007D4090" w:rsidRPr="00562BE3">
        <w:rPr>
          <w:rFonts w:ascii="Arial" w:eastAsia="Arial Unicode MS" w:hAnsi="Arial" w:cs="Arial Unicode MS"/>
          <w:sz w:val="20"/>
          <w:szCs w:val="20"/>
          <w:bdr w:val="nil"/>
        </w:rPr>
        <w:t xml:space="preserve"> during the early part of the second quarter of 2022</w:t>
      </w:r>
      <w:r w:rsidR="008A3DC4" w:rsidRPr="00562BE3">
        <w:rPr>
          <w:rFonts w:ascii="Arial" w:eastAsia="Arial Unicode MS" w:hAnsi="Arial" w:cs="Arial Unicode MS"/>
          <w:sz w:val="20"/>
          <w:szCs w:val="20"/>
          <w:bdr w:val="nil"/>
        </w:rPr>
        <w:t xml:space="preserve">. </w:t>
      </w:r>
      <w:r w:rsidRPr="00562BE3">
        <w:rPr>
          <w:rFonts w:ascii="Arial" w:eastAsia="Arial Unicode MS" w:hAnsi="Arial" w:cs="Arial Unicode MS"/>
          <w:sz w:val="20"/>
          <w:szCs w:val="20"/>
          <w:bdr w:val="nil"/>
        </w:rPr>
        <w:t>In addition, t</w:t>
      </w:r>
      <w:r w:rsidR="00FF7BC3" w:rsidRPr="00562BE3">
        <w:rPr>
          <w:rFonts w:ascii="Arial" w:eastAsia="Arial Unicode MS" w:hAnsi="Arial" w:cs="Arial Unicode MS"/>
          <w:sz w:val="20"/>
          <w:szCs w:val="20"/>
          <w:bdr w:val="nil"/>
        </w:rPr>
        <w:t xml:space="preserve">he Company expects to reach a critical inflection point during the second quarter </w:t>
      </w:r>
      <w:r w:rsidR="004B194F">
        <w:rPr>
          <w:rFonts w:ascii="Arial" w:eastAsia="Arial Unicode MS" w:hAnsi="Arial" w:cs="Arial Unicode MS"/>
          <w:sz w:val="20"/>
          <w:szCs w:val="20"/>
          <w:bdr w:val="nil"/>
        </w:rPr>
        <w:t xml:space="preserve">of </w:t>
      </w:r>
      <w:r w:rsidR="00FF7BC3" w:rsidRPr="00562BE3">
        <w:rPr>
          <w:rFonts w:ascii="Arial" w:eastAsia="Arial Unicode MS" w:hAnsi="Arial" w:cs="Arial Unicode MS"/>
          <w:sz w:val="20"/>
          <w:szCs w:val="20"/>
          <w:bdr w:val="nil"/>
        </w:rPr>
        <w:t>2022 with net cash provided by operating activities turning positive</w:t>
      </w:r>
      <w:r w:rsidR="00196E78">
        <w:rPr>
          <w:rFonts w:ascii="Arial" w:eastAsia="Arial Unicode MS" w:hAnsi="Arial" w:cs="Arial Unicode MS"/>
          <w:sz w:val="20"/>
          <w:szCs w:val="20"/>
          <w:bdr w:val="nil"/>
        </w:rPr>
        <w:t>.</w:t>
      </w:r>
      <w:r w:rsidRPr="00562BE3">
        <w:rPr>
          <w:rFonts w:ascii="Arial" w:eastAsia="Arial Unicode MS" w:hAnsi="Arial" w:cs="Arial Unicode MS"/>
          <w:sz w:val="20"/>
          <w:szCs w:val="20"/>
          <w:bdr w:val="nil"/>
        </w:rPr>
        <w:t xml:space="preserve"> </w:t>
      </w:r>
      <w:r w:rsidR="00196E78">
        <w:rPr>
          <w:rFonts w:ascii="Arial" w:eastAsia="Arial Unicode MS" w:hAnsi="Arial" w:cs="Arial Unicode MS"/>
          <w:sz w:val="20"/>
          <w:szCs w:val="20"/>
          <w:bdr w:val="nil"/>
        </w:rPr>
        <w:t>B</w:t>
      </w:r>
      <w:r w:rsidR="00FF7BC3" w:rsidRPr="00562BE3">
        <w:rPr>
          <w:rFonts w:ascii="Arial" w:eastAsia="Arial Unicode MS" w:hAnsi="Arial" w:cs="Arial Unicode MS"/>
          <w:sz w:val="20"/>
          <w:szCs w:val="20"/>
          <w:bdr w:val="nil"/>
        </w:rPr>
        <w:t xml:space="preserve">ased on the current </w:t>
      </w:r>
      <w:r w:rsidR="00544F45">
        <w:rPr>
          <w:rFonts w:ascii="Arial" w:eastAsia="Arial Unicode MS" w:hAnsi="Arial" w:cs="Arial Unicode MS"/>
          <w:sz w:val="20"/>
          <w:szCs w:val="20"/>
          <w:bdr w:val="nil"/>
        </w:rPr>
        <w:t xml:space="preserve">booked position and </w:t>
      </w:r>
      <w:r w:rsidR="00FF7BC3" w:rsidRPr="00562BE3">
        <w:rPr>
          <w:rFonts w:ascii="Arial" w:eastAsia="Arial Unicode MS" w:hAnsi="Arial" w:cs="Arial Unicode MS"/>
          <w:sz w:val="20"/>
          <w:szCs w:val="20"/>
          <w:bdr w:val="nil"/>
        </w:rPr>
        <w:t xml:space="preserve">trajectory, the Company expects </w:t>
      </w:r>
      <w:r w:rsidR="0023453F">
        <w:rPr>
          <w:rFonts w:ascii="Arial" w:eastAsia="Arial Unicode MS" w:hAnsi="Arial" w:cs="Arial Unicode MS"/>
          <w:sz w:val="20"/>
          <w:szCs w:val="20"/>
          <w:bdr w:val="nil"/>
        </w:rPr>
        <w:t xml:space="preserve">to </w:t>
      </w:r>
      <w:r w:rsidR="00FF7BC3" w:rsidRPr="00562BE3">
        <w:rPr>
          <w:rFonts w:ascii="Arial" w:eastAsia="Arial Unicode MS" w:hAnsi="Arial" w:cs="Arial Unicode MS"/>
          <w:sz w:val="20"/>
          <w:szCs w:val="20"/>
          <w:bdr w:val="nil"/>
        </w:rPr>
        <w:t>have positive Adjusted Net Income</w:t>
      </w:r>
      <w:r w:rsidR="009B4105">
        <w:rPr>
          <w:rStyle w:val="Refdenotaalpie"/>
          <w:rFonts w:ascii="Arial" w:eastAsia="Arial Unicode MS" w:hAnsi="Arial" w:cs="Arial Unicode MS"/>
          <w:sz w:val="20"/>
          <w:szCs w:val="20"/>
          <w:bdr w:val="nil"/>
        </w:rPr>
        <w:footnoteReference w:id="2"/>
      </w:r>
      <w:r w:rsidR="00FF7BC3" w:rsidRPr="00562BE3">
        <w:rPr>
          <w:rFonts w:ascii="Arial" w:eastAsia="Arial Unicode MS" w:hAnsi="Arial" w:cs="Arial Unicode MS"/>
          <w:sz w:val="20"/>
          <w:szCs w:val="20"/>
          <w:bdr w:val="nil"/>
        </w:rPr>
        <w:t xml:space="preserve"> for the second half of 2022.</w:t>
      </w:r>
    </w:p>
    <w:p w14:paraId="287C10A1" w14:textId="5B944685" w:rsidR="001B3F0C" w:rsidRPr="004A4E66" w:rsidRDefault="001B3F0C" w:rsidP="007F3002">
      <w:pPr>
        <w:pStyle w:val="Sinespaciado"/>
        <w:spacing w:line="360" w:lineRule="auto"/>
        <w:jc w:val="both"/>
        <w:rPr>
          <w:rFonts w:ascii="Arial" w:eastAsia="Arial Unicode MS" w:hAnsi="Arial" w:cs="Arial"/>
          <w:sz w:val="20"/>
          <w:szCs w:val="20"/>
          <w:bdr w:val="nil"/>
        </w:rPr>
      </w:pPr>
      <w:r w:rsidRPr="0085698E">
        <w:rPr>
          <w:rFonts w:ascii="Arial" w:eastAsia="Arial Unicode MS" w:hAnsi="Arial" w:cs="Arial"/>
          <w:sz w:val="20"/>
          <w:szCs w:val="20"/>
          <w:bdr w:val="nil"/>
        </w:rPr>
        <w:t xml:space="preserve">All voyages across the Company’s three brands continue to operate </w:t>
      </w:r>
      <w:r w:rsidR="00167637" w:rsidRPr="0085698E">
        <w:rPr>
          <w:rFonts w:ascii="Arial" w:eastAsia="Arial Unicode MS" w:hAnsi="Arial" w:cs="Arial"/>
          <w:sz w:val="20"/>
          <w:szCs w:val="20"/>
          <w:bdr w:val="nil"/>
        </w:rPr>
        <w:t xml:space="preserve">under </w:t>
      </w:r>
      <w:r w:rsidR="0085698E">
        <w:rPr>
          <w:rFonts w:ascii="Arial" w:eastAsia="Arial Unicode MS" w:hAnsi="Arial" w:cs="Arial"/>
          <w:sz w:val="20"/>
          <w:szCs w:val="20"/>
          <w:bdr w:val="nil"/>
        </w:rPr>
        <w:t>our</w:t>
      </w:r>
      <w:r w:rsidR="0085698E" w:rsidRPr="0085698E">
        <w:rPr>
          <w:rFonts w:ascii="Arial" w:eastAsia="Arial Unicode MS" w:hAnsi="Arial" w:cs="Arial"/>
          <w:sz w:val="20"/>
          <w:szCs w:val="20"/>
          <w:bdr w:val="nil"/>
        </w:rPr>
        <w:t xml:space="preserve"> </w:t>
      </w:r>
      <w:r w:rsidRPr="0085698E">
        <w:rPr>
          <w:rFonts w:ascii="Arial" w:eastAsia="Arial Unicode MS" w:hAnsi="Arial" w:cs="Arial"/>
          <w:sz w:val="20"/>
          <w:szCs w:val="20"/>
          <w:bdr w:val="nil"/>
        </w:rPr>
        <w:t xml:space="preserve">robust science-backed </w:t>
      </w:r>
      <w:proofErr w:type="spellStart"/>
      <w:r w:rsidRPr="0085698E">
        <w:rPr>
          <w:rFonts w:ascii="Arial" w:eastAsia="Arial Unicode MS" w:hAnsi="Arial" w:cs="Arial"/>
          <w:sz w:val="20"/>
          <w:szCs w:val="20"/>
          <w:bdr w:val="nil"/>
        </w:rPr>
        <w:t>SailSAFE</w:t>
      </w:r>
      <w:proofErr w:type="spellEnd"/>
      <w:r w:rsidRPr="0085698E">
        <w:rPr>
          <w:rFonts w:ascii="Arial" w:eastAsia="Arial Unicode MS" w:hAnsi="Arial" w:cs="Arial"/>
          <w:sz w:val="20"/>
          <w:szCs w:val="20"/>
          <w:bdr w:val="nil"/>
        </w:rPr>
        <w:t xml:space="preserve"> health and safety program. As part of this program, </w:t>
      </w:r>
      <w:r w:rsidR="0085698E">
        <w:rPr>
          <w:rFonts w:ascii="Arial" w:eastAsia="Arial Unicode MS" w:hAnsi="Arial" w:cs="Arial"/>
          <w:sz w:val="20"/>
          <w:szCs w:val="20"/>
          <w:bdr w:val="nil"/>
        </w:rPr>
        <w:t>our policy</w:t>
      </w:r>
      <w:r w:rsidR="000C067D" w:rsidRPr="0085698E">
        <w:rPr>
          <w:rFonts w:ascii="Arial" w:eastAsia="Arial Unicode MS" w:hAnsi="Arial" w:cs="Arial"/>
          <w:sz w:val="20"/>
          <w:szCs w:val="20"/>
          <w:bdr w:val="nil"/>
        </w:rPr>
        <w:t xml:space="preserve"> requires </w:t>
      </w:r>
      <w:r w:rsidR="00732083" w:rsidRPr="0085698E">
        <w:rPr>
          <w:rFonts w:ascii="Arial" w:eastAsia="Arial Unicode MS" w:hAnsi="Arial" w:cs="Arial"/>
          <w:sz w:val="20"/>
          <w:szCs w:val="20"/>
          <w:bdr w:val="nil"/>
        </w:rPr>
        <w:t>our entire</w:t>
      </w:r>
      <w:r w:rsidR="00A8732B" w:rsidRPr="0085698E">
        <w:rPr>
          <w:rFonts w:ascii="Arial" w:eastAsia="Arial Unicode MS" w:hAnsi="Arial" w:cs="Arial"/>
          <w:sz w:val="20"/>
          <w:szCs w:val="20"/>
          <w:bdr w:val="nil"/>
        </w:rPr>
        <w:t xml:space="preserve"> crew and</w:t>
      </w:r>
      <w:r w:rsidRPr="0085698E">
        <w:rPr>
          <w:rFonts w:ascii="Arial" w:eastAsia="Arial Unicode MS" w:hAnsi="Arial" w:cs="Arial"/>
          <w:sz w:val="20"/>
          <w:szCs w:val="20"/>
          <w:bdr w:val="nil"/>
        </w:rPr>
        <w:t xml:space="preserve"> </w:t>
      </w:r>
      <w:r w:rsidR="008502F7" w:rsidRPr="0085698E">
        <w:rPr>
          <w:rFonts w:ascii="Arial" w:eastAsia="Arial Unicode MS" w:hAnsi="Arial" w:cs="Arial"/>
          <w:sz w:val="20"/>
          <w:szCs w:val="20"/>
          <w:bdr w:val="nil"/>
        </w:rPr>
        <w:t xml:space="preserve">all guests </w:t>
      </w:r>
      <w:r w:rsidR="0085698E">
        <w:rPr>
          <w:rFonts w:ascii="Arial" w:eastAsia="Arial Unicode MS" w:hAnsi="Arial" w:cs="Arial"/>
          <w:sz w:val="20"/>
          <w:szCs w:val="20"/>
          <w:bdr w:val="nil"/>
        </w:rPr>
        <w:t xml:space="preserve">age </w:t>
      </w:r>
      <w:r w:rsidR="008502F7" w:rsidRPr="0085698E">
        <w:rPr>
          <w:rFonts w:ascii="Arial" w:eastAsia="Arial Unicode MS" w:hAnsi="Arial" w:cs="Arial"/>
          <w:sz w:val="20"/>
          <w:szCs w:val="20"/>
          <w:bdr w:val="nil"/>
        </w:rPr>
        <w:t>12 and over</w:t>
      </w:r>
      <w:r w:rsidR="00544F45" w:rsidRPr="0085698E">
        <w:rPr>
          <w:rFonts w:ascii="Arial" w:eastAsia="Arial Unicode MS" w:hAnsi="Arial" w:cs="Arial"/>
          <w:sz w:val="20"/>
          <w:szCs w:val="20"/>
          <w:bdr w:val="nil"/>
        </w:rPr>
        <w:t xml:space="preserve"> </w:t>
      </w:r>
      <w:proofErr w:type="gramStart"/>
      <w:r w:rsidR="000C067D" w:rsidRPr="0085698E">
        <w:rPr>
          <w:rFonts w:ascii="Arial" w:eastAsia="Arial Unicode MS" w:hAnsi="Arial" w:cs="Arial"/>
          <w:sz w:val="20"/>
          <w:szCs w:val="20"/>
          <w:bdr w:val="nil"/>
        </w:rPr>
        <w:t xml:space="preserve">be </w:t>
      </w:r>
      <w:r w:rsidR="00544F45" w:rsidRPr="0085698E">
        <w:rPr>
          <w:rFonts w:ascii="Arial" w:eastAsia="Arial Unicode MS" w:hAnsi="Arial" w:cs="Arial"/>
          <w:sz w:val="20"/>
          <w:szCs w:val="20"/>
          <w:bdr w:val="nil"/>
        </w:rPr>
        <w:t>fully</w:t>
      </w:r>
      <w:r w:rsidR="008502F7" w:rsidRPr="0085698E">
        <w:rPr>
          <w:rFonts w:ascii="Arial" w:eastAsia="Arial Unicode MS" w:hAnsi="Arial" w:cs="Arial"/>
          <w:sz w:val="20"/>
          <w:szCs w:val="20"/>
          <w:bdr w:val="nil"/>
        </w:rPr>
        <w:t xml:space="preserve"> vaccinated</w:t>
      </w:r>
      <w:proofErr w:type="gramEnd"/>
      <w:r w:rsidR="00732083" w:rsidRPr="0085698E">
        <w:rPr>
          <w:rFonts w:ascii="Arial" w:eastAsia="Arial Unicode MS" w:hAnsi="Arial" w:cs="Arial"/>
          <w:sz w:val="20"/>
          <w:szCs w:val="20"/>
          <w:bdr w:val="nil"/>
        </w:rPr>
        <w:t>. I</w:t>
      </w:r>
      <w:r w:rsidRPr="0085698E">
        <w:rPr>
          <w:rFonts w:ascii="Arial" w:eastAsia="Arial Unicode MS" w:hAnsi="Arial" w:cs="Arial"/>
          <w:sz w:val="20"/>
          <w:szCs w:val="20"/>
          <w:bdr w:val="nil"/>
        </w:rPr>
        <w:t>n addition</w:t>
      </w:r>
      <w:r w:rsidR="004B194F">
        <w:rPr>
          <w:rFonts w:ascii="Arial" w:eastAsia="Arial Unicode MS" w:hAnsi="Arial" w:cs="Arial"/>
          <w:sz w:val="20"/>
          <w:szCs w:val="20"/>
          <w:bdr w:val="nil"/>
        </w:rPr>
        <w:t>,</w:t>
      </w:r>
      <w:r w:rsidRPr="0085698E">
        <w:rPr>
          <w:rFonts w:ascii="Arial" w:eastAsia="Arial Unicode MS" w:hAnsi="Arial" w:cs="Arial"/>
          <w:sz w:val="20"/>
          <w:szCs w:val="20"/>
          <w:bdr w:val="nil"/>
        </w:rPr>
        <w:t xml:space="preserve"> </w:t>
      </w:r>
      <w:r w:rsidR="00732083" w:rsidRPr="0085698E">
        <w:rPr>
          <w:rFonts w:ascii="Arial" w:eastAsia="Arial Unicode MS" w:hAnsi="Arial" w:cs="Arial"/>
          <w:sz w:val="20"/>
          <w:szCs w:val="20"/>
          <w:bdr w:val="nil"/>
        </w:rPr>
        <w:t xml:space="preserve">our </w:t>
      </w:r>
      <w:r w:rsidRPr="0085698E">
        <w:rPr>
          <w:rFonts w:ascii="Arial" w:eastAsia="Arial Unicode MS" w:hAnsi="Arial" w:cs="Arial"/>
          <w:sz w:val="20"/>
          <w:szCs w:val="20"/>
          <w:bdr w:val="nil"/>
        </w:rPr>
        <w:t xml:space="preserve">comprehensive </w:t>
      </w:r>
      <w:proofErr w:type="spellStart"/>
      <w:r w:rsidRPr="0085698E">
        <w:rPr>
          <w:rFonts w:ascii="Arial" w:eastAsia="Arial Unicode MS" w:hAnsi="Arial" w:cs="Arial"/>
          <w:sz w:val="20"/>
          <w:szCs w:val="20"/>
          <w:bdr w:val="nil"/>
        </w:rPr>
        <w:t>SailSAFE</w:t>
      </w:r>
      <w:proofErr w:type="spellEnd"/>
      <w:r w:rsidRPr="0085698E">
        <w:rPr>
          <w:rFonts w:ascii="Arial" w:eastAsia="Arial Unicode MS" w:hAnsi="Arial" w:cs="Arial"/>
          <w:sz w:val="20"/>
          <w:szCs w:val="20"/>
          <w:bdr w:val="nil"/>
        </w:rPr>
        <w:t xml:space="preserve"> protocols include universal COVID-19 testing</w:t>
      </w:r>
      <w:r w:rsidR="004E5358" w:rsidRPr="0085698E">
        <w:rPr>
          <w:rFonts w:ascii="Arial" w:eastAsia="Arial Unicode MS" w:hAnsi="Arial" w:cs="Arial"/>
          <w:sz w:val="20"/>
          <w:szCs w:val="20"/>
          <w:bdr w:val="nil"/>
        </w:rPr>
        <w:t xml:space="preserve"> </w:t>
      </w:r>
      <w:r w:rsidRPr="0085698E">
        <w:rPr>
          <w:rFonts w:ascii="Arial" w:eastAsia="Arial Unicode MS" w:hAnsi="Arial" w:cs="Arial"/>
          <w:sz w:val="20"/>
          <w:szCs w:val="20"/>
          <w:bdr w:val="nil"/>
        </w:rPr>
        <w:t xml:space="preserve">prior to embarkation. The Company’s </w:t>
      </w:r>
      <w:r w:rsidR="00A8732B" w:rsidRPr="0085698E">
        <w:rPr>
          <w:rFonts w:ascii="Arial" w:eastAsia="Arial Unicode MS" w:hAnsi="Arial" w:cs="Arial"/>
          <w:sz w:val="20"/>
          <w:szCs w:val="20"/>
          <w:bdr w:val="nil"/>
        </w:rPr>
        <w:t xml:space="preserve">stringent </w:t>
      </w:r>
      <w:r w:rsidRPr="0085698E">
        <w:rPr>
          <w:rFonts w:ascii="Arial" w:eastAsia="Arial Unicode MS" w:hAnsi="Arial" w:cs="Arial"/>
          <w:sz w:val="20"/>
          <w:szCs w:val="20"/>
          <w:bdr w:val="nil"/>
        </w:rPr>
        <w:t xml:space="preserve">vaccination policy applies across all voyages on its three brands as </w:t>
      </w:r>
      <w:r w:rsidR="000430DF" w:rsidRPr="0085698E">
        <w:rPr>
          <w:rFonts w:ascii="Arial" w:eastAsia="Arial Unicode MS" w:hAnsi="Arial" w:cs="Arial"/>
          <w:sz w:val="20"/>
          <w:szCs w:val="20"/>
          <w:bdr w:val="nil"/>
        </w:rPr>
        <w:t>the Company</w:t>
      </w:r>
      <w:r w:rsidRPr="0085698E">
        <w:rPr>
          <w:rFonts w:ascii="Arial" w:eastAsia="Arial Unicode MS" w:hAnsi="Arial" w:cs="Arial"/>
          <w:sz w:val="20"/>
          <w:szCs w:val="20"/>
          <w:bdr w:val="nil"/>
        </w:rPr>
        <w:t xml:space="preserve"> believes this is the safest way to </w:t>
      </w:r>
      <w:r w:rsidR="00A8732B" w:rsidRPr="0085698E">
        <w:rPr>
          <w:rFonts w:ascii="Arial" w:eastAsia="Arial Unicode MS" w:hAnsi="Arial" w:cs="Arial"/>
          <w:sz w:val="20"/>
          <w:szCs w:val="20"/>
          <w:bdr w:val="nil"/>
        </w:rPr>
        <w:t>operate</w:t>
      </w:r>
      <w:r w:rsidRPr="0085698E">
        <w:rPr>
          <w:rFonts w:ascii="Arial" w:eastAsia="Arial Unicode MS" w:hAnsi="Arial" w:cs="Arial"/>
          <w:sz w:val="20"/>
          <w:szCs w:val="20"/>
          <w:bdr w:val="nil"/>
        </w:rPr>
        <w:t xml:space="preserve"> in the current global public health environment. </w:t>
      </w:r>
      <w:r w:rsidR="008502F7" w:rsidRPr="0085698E">
        <w:rPr>
          <w:rFonts w:ascii="Arial" w:eastAsia="Arial Unicode MS" w:hAnsi="Arial" w:cs="Arial"/>
          <w:sz w:val="20"/>
          <w:szCs w:val="20"/>
          <w:bdr w:val="nil"/>
        </w:rPr>
        <w:t>In 2021, the Company’s brands</w:t>
      </w:r>
      <w:r w:rsidR="00634B8F" w:rsidRPr="0085698E">
        <w:rPr>
          <w:rFonts w:ascii="Arial" w:eastAsia="Arial Unicode MS" w:hAnsi="Arial" w:cs="Arial"/>
          <w:sz w:val="20"/>
          <w:szCs w:val="20"/>
          <w:bdr w:val="nil"/>
        </w:rPr>
        <w:t xml:space="preserve"> safely</w:t>
      </w:r>
      <w:r w:rsidR="008502F7" w:rsidRPr="0085698E">
        <w:rPr>
          <w:rFonts w:ascii="Arial" w:eastAsia="Arial Unicode MS" w:hAnsi="Arial" w:cs="Arial"/>
          <w:sz w:val="20"/>
          <w:szCs w:val="20"/>
          <w:bdr w:val="nil"/>
        </w:rPr>
        <w:t xml:space="preserve"> carried over 230,000 guests </w:t>
      </w:r>
      <w:r w:rsidR="00634B8F" w:rsidRPr="0085698E">
        <w:rPr>
          <w:rFonts w:ascii="Arial" w:eastAsia="Arial Unicode MS" w:hAnsi="Arial" w:cs="Arial"/>
          <w:sz w:val="20"/>
          <w:szCs w:val="20"/>
          <w:bdr w:val="nil"/>
        </w:rPr>
        <w:t>who had prevalence rates vastly lower than what has been experienced on land during the pandemic</w:t>
      </w:r>
      <w:r w:rsidR="008502F7" w:rsidRPr="0085698E">
        <w:rPr>
          <w:rFonts w:ascii="Arial" w:eastAsia="Arial Unicode MS" w:hAnsi="Arial" w:cs="Arial"/>
          <w:sz w:val="20"/>
          <w:szCs w:val="20"/>
          <w:bdr w:val="nil"/>
        </w:rPr>
        <w:t xml:space="preserve">. </w:t>
      </w:r>
      <w:r w:rsidRPr="0085698E">
        <w:rPr>
          <w:rFonts w:ascii="Arial" w:eastAsia="Arial Unicode MS" w:hAnsi="Arial" w:cs="Arial"/>
          <w:sz w:val="20"/>
          <w:szCs w:val="20"/>
          <w:bdr w:val="nil"/>
        </w:rPr>
        <w:t xml:space="preserve">These </w:t>
      </w:r>
      <w:r w:rsidR="00544F45" w:rsidRPr="0085698E">
        <w:rPr>
          <w:rFonts w:ascii="Arial" w:eastAsia="Arial Unicode MS" w:hAnsi="Arial" w:cs="Arial"/>
          <w:sz w:val="20"/>
          <w:szCs w:val="20"/>
          <w:bdr w:val="nil"/>
        </w:rPr>
        <w:t xml:space="preserve">health and safety </w:t>
      </w:r>
      <w:r w:rsidRPr="0085698E">
        <w:rPr>
          <w:rFonts w:ascii="Arial" w:eastAsia="Arial Unicode MS" w:hAnsi="Arial" w:cs="Arial"/>
          <w:sz w:val="20"/>
          <w:szCs w:val="20"/>
          <w:bdr w:val="nil"/>
        </w:rPr>
        <w:t>measures will be continuously evaluated and modified</w:t>
      </w:r>
      <w:r w:rsidR="009F1F36" w:rsidRPr="0085698E">
        <w:rPr>
          <w:rFonts w:ascii="Arial" w:eastAsia="Arial Unicode MS" w:hAnsi="Arial" w:cs="Arial"/>
          <w:sz w:val="20"/>
          <w:szCs w:val="20"/>
          <w:bdr w:val="nil"/>
        </w:rPr>
        <w:t>,</w:t>
      </w:r>
      <w:r w:rsidRPr="0085698E">
        <w:rPr>
          <w:rFonts w:ascii="Arial" w:eastAsia="Arial Unicode MS" w:hAnsi="Arial" w:cs="Arial"/>
          <w:sz w:val="20"/>
          <w:szCs w:val="20"/>
          <w:bdr w:val="nil"/>
        </w:rPr>
        <w:t xml:space="preserve"> with guidance from the </w:t>
      </w:r>
      <w:proofErr w:type="spellStart"/>
      <w:r w:rsidRPr="0085698E">
        <w:rPr>
          <w:rFonts w:ascii="Arial" w:eastAsia="Arial Unicode MS" w:hAnsi="Arial" w:cs="Arial"/>
          <w:sz w:val="20"/>
          <w:szCs w:val="20"/>
          <w:bdr w:val="nil"/>
        </w:rPr>
        <w:t>SailSAFE</w:t>
      </w:r>
      <w:proofErr w:type="spellEnd"/>
      <w:r w:rsidRPr="0085698E">
        <w:rPr>
          <w:rFonts w:ascii="Arial" w:eastAsia="Arial Unicode MS" w:hAnsi="Arial" w:cs="Arial"/>
          <w:sz w:val="20"/>
          <w:szCs w:val="20"/>
          <w:bdr w:val="nil"/>
        </w:rPr>
        <w:t xml:space="preserve"> Global Health and Wellness Council</w:t>
      </w:r>
      <w:r w:rsidR="009F1F36" w:rsidRPr="0085698E">
        <w:rPr>
          <w:rFonts w:ascii="Arial" w:eastAsia="Arial Unicode MS" w:hAnsi="Arial" w:cs="Arial"/>
          <w:sz w:val="20"/>
          <w:szCs w:val="20"/>
          <w:bdr w:val="nil"/>
        </w:rPr>
        <w:t>,</w:t>
      </w:r>
      <w:r w:rsidRPr="0085698E">
        <w:rPr>
          <w:rFonts w:ascii="Arial" w:eastAsia="Arial Unicode MS" w:hAnsi="Arial" w:cs="Arial"/>
          <w:sz w:val="20"/>
          <w:szCs w:val="20"/>
          <w:bdr w:val="nil"/>
        </w:rPr>
        <w:t xml:space="preserve"> as </w:t>
      </w:r>
      <w:r w:rsidR="00B86A11" w:rsidRPr="0085698E">
        <w:rPr>
          <w:rFonts w:ascii="Arial" w:eastAsia="Arial Unicode MS" w:hAnsi="Arial" w:cs="Arial"/>
          <w:sz w:val="20"/>
          <w:szCs w:val="20"/>
          <w:bdr w:val="nil"/>
        </w:rPr>
        <w:t>science, technology</w:t>
      </w:r>
      <w:r w:rsidR="004E5358" w:rsidRPr="0085698E">
        <w:rPr>
          <w:rFonts w:ascii="Arial" w:eastAsia="Arial Unicode MS" w:hAnsi="Arial" w:cs="Arial"/>
          <w:sz w:val="20"/>
          <w:szCs w:val="20"/>
          <w:bdr w:val="nil"/>
        </w:rPr>
        <w:t xml:space="preserve"> and the prevalence of COVID-19</w:t>
      </w:r>
      <w:r w:rsidRPr="0085698E">
        <w:rPr>
          <w:rFonts w:ascii="Arial" w:eastAsia="Arial Unicode MS" w:hAnsi="Arial" w:cs="Arial"/>
          <w:sz w:val="20"/>
          <w:szCs w:val="20"/>
          <w:bdr w:val="nil"/>
        </w:rPr>
        <w:t xml:space="preserve"> evolve.</w:t>
      </w:r>
      <w:r w:rsidR="00167637">
        <w:rPr>
          <w:rFonts w:ascii="Arial" w:eastAsia="Arial Unicode MS" w:hAnsi="Arial" w:cs="Arial"/>
          <w:sz w:val="20"/>
          <w:szCs w:val="20"/>
          <w:bdr w:val="nil"/>
        </w:rPr>
        <w:t xml:space="preserve"> </w:t>
      </w:r>
    </w:p>
    <w:p w14:paraId="57B6AE6D" w14:textId="7FF0787E" w:rsidR="00C7571C" w:rsidRPr="00562BE3" w:rsidRDefault="00A8732B" w:rsidP="007F3002">
      <w:pPr>
        <w:pStyle w:val="Sinespaciado"/>
        <w:spacing w:line="360" w:lineRule="auto"/>
        <w:jc w:val="both"/>
        <w:rPr>
          <w:rFonts w:ascii="Arial" w:eastAsia="Arial Unicode MS" w:hAnsi="Arial" w:cs="Arial"/>
          <w:sz w:val="20"/>
          <w:szCs w:val="20"/>
          <w:highlight w:val="yellow"/>
          <w:bdr w:val="nil"/>
        </w:rPr>
      </w:pPr>
      <w:r w:rsidRPr="00A8732B">
        <w:rPr>
          <w:rFonts w:ascii="Arial" w:eastAsia="Arial Unicode MS" w:hAnsi="Arial" w:cs="Arial"/>
          <w:sz w:val="20"/>
          <w:szCs w:val="20"/>
          <w:bdr w:val="nil"/>
        </w:rPr>
        <w:t>T</w:t>
      </w:r>
      <w:r w:rsidR="00C7571C" w:rsidRPr="00A8732B">
        <w:rPr>
          <w:rFonts w:ascii="Arial" w:eastAsia="Arial Unicode MS" w:hAnsi="Arial" w:cs="Arial"/>
          <w:sz w:val="20"/>
          <w:szCs w:val="20"/>
          <w:bdr w:val="nil"/>
        </w:rPr>
        <w:t>he Company</w:t>
      </w:r>
      <w:r w:rsidRPr="00A8732B">
        <w:rPr>
          <w:rFonts w:ascii="Arial" w:eastAsia="Arial Unicode MS" w:hAnsi="Arial" w:cs="Arial"/>
          <w:sz w:val="20"/>
          <w:szCs w:val="20"/>
          <w:bdr w:val="nil"/>
        </w:rPr>
        <w:t xml:space="preserve"> has informed the Centers for Disease Control and Prevention (CDC) of its three brands opting into the agency’s </w:t>
      </w:r>
      <w:r w:rsidRPr="00A8732B">
        <w:rPr>
          <w:rFonts w:ascii="Arial" w:eastAsia="Arial Unicode MS" w:hAnsi="Arial" w:cs="Arial"/>
          <w:i/>
          <w:iCs/>
          <w:sz w:val="20"/>
          <w:szCs w:val="20"/>
          <w:bdr w:val="nil"/>
        </w:rPr>
        <w:t>COVID-19 Program for Cruise Ships Operating in U.S. Waters</w:t>
      </w:r>
      <w:r>
        <w:rPr>
          <w:rFonts w:ascii="Arial" w:eastAsia="Arial Unicode MS" w:hAnsi="Arial" w:cs="Arial"/>
          <w:sz w:val="20"/>
          <w:szCs w:val="20"/>
          <w:bdr w:val="nil"/>
        </w:rPr>
        <w:t xml:space="preserve">, </w:t>
      </w:r>
      <w:r w:rsidRPr="00FE7783">
        <w:rPr>
          <w:rFonts w:ascii="Arial" w:hAnsi="Arial"/>
          <w:color w:val="000000" w:themeColor="text1"/>
          <w:sz w:val="20"/>
          <w:szCs w:val="20"/>
        </w:rPr>
        <w:t>the agency’s voluntary COVID-19 risk mitigation program for foreign-flagged cruise ships operating in U.S. waters.</w:t>
      </w:r>
    </w:p>
    <w:p w14:paraId="018A8690" w14:textId="7E1E5172" w:rsidR="008044B3" w:rsidRPr="00562BE3" w:rsidRDefault="008044B3" w:rsidP="00852171">
      <w:pPr>
        <w:pStyle w:val="Sinespaciado"/>
        <w:tabs>
          <w:tab w:val="left" w:pos="2790"/>
        </w:tabs>
        <w:spacing w:line="360" w:lineRule="auto"/>
        <w:jc w:val="both"/>
        <w:rPr>
          <w:rFonts w:ascii="Arial" w:eastAsia="Arial Unicode MS" w:hAnsi="Arial" w:cs="Arial Unicode MS"/>
          <w:b/>
          <w:bCs/>
          <w:sz w:val="20"/>
          <w:szCs w:val="20"/>
          <w:u w:val="single"/>
          <w:bdr w:val="nil"/>
        </w:rPr>
      </w:pPr>
      <w:r w:rsidRPr="00562BE3">
        <w:rPr>
          <w:rFonts w:ascii="Arial" w:eastAsia="Arial Unicode MS" w:hAnsi="Arial" w:cs="Arial Unicode MS"/>
          <w:b/>
          <w:bCs/>
          <w:sz w:val="20"/>
          <w:szCs w:val="20"/>
          <w:u w:val="single"/>
          <w:bdr w:val="nil"/>
        </w:rPr>
        <w:t>Booking Environment and Outlook</w:t>
      </w:r>
    </w:p>
    <w:p w14:paraId="69DF2948" w14:textId="42608D48" w:rsidR="00FF7BC3" w:rsidRPr="00562BE3" w:rsidRDefault="00FF7BC3" w:rsidP="00FF7BC3">
      <w:pPr>
        <w:spacing w:line="360" w:lineRule="auto"/>
        <w:jc w:val="both"/>
        <w:rPr>
          <w:rFonts w:ascii="Arial" w:eastAsia="Times New Roman" w:hAnsi="Arial" w:cs="Arial"/>
          <w:color w:val="auto"/>
          <w:sz w:val="20"/>
          <w:szCs w:val="20"/>
        </w:rPr>
      </w:pPr>
      <w:bookmarkStart w:id="2" w:name="_Hlk96429188"/>
      <w:r w:rsidRPr="00562BE3">
        <w:rPr>
          <w:rFonts w:ascii="Arial" w:eastAsia="Times New Roman" w:hAnsi="Arial" w:cs="Arial"/>
          <w:color w:val="auto"/>
          <w:sz w:val="20"/>
          <w:szCs w:val="20"/>
        </w:rPr>
        <w:t xml:space="preserve">Net booking volumes </w:t>
      </w:r>
      <w:r w:rsidR="00167637">
        <w:rPr>
          <w:rFonts w:ascii="Arial" w:eastAsia="Times New Roman" w:hAnsi="Arial" w:cs="Arial"/>
          <w:color w:val="auto"/>
          <w:sz w:val="20"/>
          <w:szCs w:val="20"/>
        </w:rPr>
        <w:t>at</w:t>
      </w:r>
      <w:r w:rsidR="00167637" w:rsidRPr="00562BE3">
        <w:rPr>
          <w:rFonts w:ascii="Arial" w:eastAsia="Times New Roman" w:hAnsi="Arial" w:cs="Arial"/>
          <w:color w:val="auto"/>
          <w:sz w:val="20"/>
          <w:szCs w:val="20"/>
        </w:rPr>
        <w:t xml:space="preserve"> </w:t>
      </w:r>
      <w:r w:rsidRPr="00562BE3">
        <w:rPr>
          <w:rFonts w:ascii="Arial" w:eastAsia="Times New Roman" w:hAnsi="Arial" w:cs="Arial"/>
          <w:color w:val="auto"/>
          <w:sz w:val="20"/>
          <w:szCs w:val="20"/>
        </w:rPr>
        <w:t xml:space="preserve">the beginning of the fourth quarter of 2021 continued to demonstrate </w:t>
      </w:r>
      <w:r w:rsidR="00544F45">
        <w:rPr>
          <w:rFonts w:ascii="Arial" w:eastAsia="Times New Roman" w:hAnsi="Arial" w:cs="Arial"/>
          <w:color w:val="auto"/>
          <w:sz w:val="20"/>
          <w:szCs w:val="20"/>
        </w:rPr>
        <w:t xml:space="preserve">substantial </w:t>
      </w:r>
      <w:r w:rsidRPr="00562BE3">
        <w:rPr>
          <w:rFonts w:ascii="Arial" w:eastAsia="Times New Roman" w:hAnsi="Arial" w:cs="Arial"/>
          <w:color w:val="auto"/>
          <w:sz w:val="20"/>
          <w:szCs w:val="20"/>
        </w:rPr>
        <w:t xml:space="preserve">week-over-week sequential growth after the slowdown in booking activity caused by the Delta variant of COVID-19. Net booking volumes in the </w:t>
      </w:r>
      <w:r w:rsidR="00833CA6">
        <w:rPr>
          <w:rFonts w:ascii="Arial" w:eastAsia="Times New Roman" w:hAnsi="Arial" w:cs="Arial"/>
          <w:color w:val="auto"/>
          <w:sz w:val="20"/>
          <w:szCs w:val="20"/>
        </w:rPr>
        <w:t>latter</w:t>
      </w:r>
      <w:r w:rsidR="00833CA6" w:rsidRPr="00562BE3">
        <w:rPr>
          <w:rFonts w:ascii="Arial" w:eastAsia="Times New Roman" w:hAnsi="Arial" w:cs="Arial"/>
          <w:color w:val="auto"/>
          <w:sz w:val="20"/>
          <w:szCs w:val="20"/>
        </w:rPr>
        <w:t xml:space="preserve"> </w:t>
      </w:r>
      <w:r w:rsidRPr="00562BE3">
        <w:rPr>
          <w:rFonts w:ascii="Arial" w:eastAsia="Times New Roman" w:hAnsi="Arial" w:cs="Arial"/>
          <w:color w:val="auto"/>
          <w:sz w:val="20"/>
          <w:szCs w:val="20"/>
        </w:rPr>
        <w:t>part of the fourth quarter</w:t>
      </w:r>
      <w:r w:rsidR="004B194F">
        <w:rPr>
          <w:rFonts w:ascii="Arial" w:eastAsia="Times New Roman" w:hAnsi="Arial" w:cs="Arial"/>
          <w:color w:val="auto"/>
          <w:sz w:val="20"/>
          <w:szCs w:val="20"/>
        </w:rPr>
        <w:t xml:space="preserve"> of</w:t>
      </w:r>
      <w:r w:rsidRPr="00562BE3">
        <w:rPr>
          <w:rFonts w:ascii="Arial" w:eastAsia="Times New Roman" w:hAnsi="Arial" w:cs="Arial"/>
          <w:color w:val="auto"/>
          <w:sz w:val="20"/>
          <w:szCs w:val="20"/>
        </w:rPr>
        <w:t xml:space="preserve"> 2021 </w:t>
      </w:r>
      <w:r w:rsidR="00544F45">
        <w:rPr>
          <w:rFonts w:ascii="Arial" w:eastAsia="Times New Roman" w:hAnsi="Arial" w:cs="Arial"/>
          <w:color w:val="auto"/>
          <w:sz w:val="20"/>
          <w:szCs w:val="20"/>
        </w:rPr>
        <w:t>began to be</w:t>
      </w:r>
      <w:r w:rsidRPr="00562BE3">
        <w:rPr>
          <w:rFonts w:ascii="Arial" w:eastAsia="Times New Roman" w:hAnsi="Arial" w:cs="Arial"/>
          <w:color w:val="auto"/>
          <w:sz w:val="20"/>
          <w:szCs w:val="20"/>
        </w:rPr>
        <w:t xml:space="preserve"> negatively impacted by the Omicron variant of COVID-19, </w:t>
      </w:r>
      <w:r w:rsidRPr="00562BE3">
        <w:rPr>
          <w:rFonts w:ascii="Arial" w:eastAsia="Times New Roman" w:hAnsi="Arial" w:cs="Arial"/>
          <w:bCs/>
          <w:color w:val="auto"/>
          <w:sz w:val="20"/>
          <w:szCs w:val="20"/>
        </w:rPr>
        <w:t>primarily for close-in voyages in the first and second quarters of 2022.</w:t>
      </w:r>
      <w:bookmarkStart w:id="3" w:name="_GoBack"/>
      <w:r w:rsidR="004B194F">
        <w:rPr>
          <w:rFonts w:ascii="Arial" w:eastAsia="Times New Roman" w:hAnsi="Arial" w:cs="Arial"/>
          <w:bCs/>
          <w:color w:val="auto"/>
          <w:sz w:val="20"/>
          <w:szCs w:val="20"/>
        </w:rPr>
        <w:t xml:space="preserve"> </w:t>
      </w:r>
      <w:bookmarkEnd w:id="3"/>
      <w:r w:rsidR="00756B2E">
        <w:rPr>
          <w:rFonts w:ascii="Arial" w:eastAsia="Times New Roman" w:hAnsi="Arial" w:cs="Arial"/>
          <w:color w:val="auto"/>
          <w:sz w:val="20"/>
          <w:szCs w:val="20"/>
        </w:rPr>
        <w:t xml:space="preserve">In recent weeks, as the Omicron wave subsided, net booking trends have improved sequentially. </w:t>
      </w:r>
      <w:r w:rsidRPr="00562BE3">
        <w:rPr>
          <w:rFonts w:ascii="Arial" w:eastAsia="Times New Roman" w:hAnsi="Arial" w:cs="Arial"/>
          <w:bCs/>
          <w:color w:val="auto"/>
          <w:sz w:val="20"/>
          <w:szCs w:val="20"/>
        </w:rPr>
        <w:t>As a result</w:t>
      </w:r>
      <w:r w:rsidRPr="00562BE3">
        <w:rPr>
          <w:rFonts w:ascii="Arial" w:eastAsia="Times New Roman" w:hAnsi="Arial" w:cs="Arial"/>
          <w:color w:val="auto"/>
          <w:sz w:val="20"/>
          <w:szCs w:val="20"/>
        </w:rPr>
        <w:t xml:space="preserve">, the Company’s </w:t>
      </w:r>
      <w:r w:rsidR="00544F45">
        <w:rPr>
          <w:rFonts w:ascii="Arial" w:eastAsia="Times New Roman" w:hAnsi="Arial" w:cs="Arial"/>
          <w:color w:val="auto"/>
          <w:sz w:val="20"/>
          <w:szCs w:val="20"/>
        </w:rPr>
        <w:t xml:space="preserve">current </w:t>
      </w:r>
      <w:r w:rsidRPr="00562BE3">
        <w:rPr>
          <w:rFonts w:ascii="Arial" w:eastAsia="Times New Roman" w:hAnsi="Arial" w:cs="Arial"/>
          <w:color w:val="auto"/>
          <w:sz w:val="20"/>
          <w:szCs w:val="20"/>
        </w:rPr>
        <w:t xml:space="preserve">cumulative booked position for the first half of 2022 is below the extraordinarily strong levels of 2019 </w:t>
      </w:r>
      <w:r w:rsidR="00544F45">
        <w:rPr>
          <w:rFonts w:ascii="Arial" w:eastAsia="Times New Roman" w:hAnsi="Arial" w:cs="Arial"/>
          <w:color w:val="auto"/>
          <w:sz w:val="20"/>
          <w:szCs w:val="20"/>
        </w:rPr>
        <w:t xml:space="preserve">at substantially higher prices even when including the dilutive impact of future cruise credits (FCCs), </w:t>
      </w:r>
      <w:r w:rsidRPr="00562BE3">
        <w:rPr>
          <w:rFonts w:ascii="Arial" w:eastAsia="Times New Roman" w:hAnsi="Arial" w:cs="Arial"/>
          <w:color w:val="auto"/>
          <w:sz w:val="20"/>
          <w:szCs w:val="20"/>
        </w:rPr>
        <w:t xml:space="preserve">while </w:t>
      </w:r>
      <w:r w:rsidR="00634B8F">
        <w:rPr>
          <w:rFonts w:ascii="Arial" w:eastAsia="Times New Roman" w:hAnsi="Arial" w:cs="Arial"/>
          <w:color w:val="auto"/>
          <w:sz w:val="20"/>
          <w:szCs w:val="20"/>
        </w:rPr>
        <w:t xml:space="preserve">booked position for </w:t>
      </w:r>
      <w:r w:rsidRPr="00562BE3">
        <w:rPr>
          <w:rFonts w:ascii="Arial" w:eastAsia="Times New Roman" w:hAnsi="Arial" w:cs="Arial"/>
          <w:color w:val="auto"/>
          <w:sz w:val="20"/>
          <w:szCs w:val="20"/>
        </w:rPr>
        <w:t>the second half, when the full fleet is expected to be back in operation, is in line with the comparable 2019 period</w:t>
      </w:r>
      <w:r w:rsidR="00544F45">
        <w:rPr>
          <w:rFonts w:ascii="Arial" w:eastAsia="Times New Roman" w:hAnsi="Arial" w:cs="Arial"/>
          <w:color w:val="auto"/>
          <w:sz w:val="20"/>
          <w:szCs w:val="20"/>
        </w:rPr>
        <w:t xml:space="preserve"> and at higher prices</w:t>
      </w:r>
      <w:r w:rsidR="00766B8F">
        <w:rPr>
          <w:rFonts w:ascii="Arial" w:eastAsia="Times New Roman" w:hAnsi="Arial" w:cs="Arial"/>
          <w:color w:val="auto"/>
          <w:sz w:val="20"/>
          <w:szCs w:val="20"/>
        </w:rPr>
        <w:t>,</w:t>
      </w:r>
      <w:r w:rsidR="00544F45">
        <w:rPr>
          <w:rFonts w:ascii="Arial" w:eastAsia="Times New Roman" w:hAnsi="Arial" w:cs="Arial"/>
          <w:color w:val="auto"/>
          <w:sz w:val="20"/>
          <w:szCs w:val="20"/>
        </w:rPr>
        <w:t xml:space="preserve"> also including </w:t>
      </w:r>
      <w:r w:rsidR="00766B8F">
        <w:rPr>
          <w:rFonts w:ascii="Arial" w:eastAsia="Times New Roman" w:hAnsi="Arial" w:cs="Arial"/>
          <w:color w:val="auto"/>
          <w:sz w:val="20"/>
          <w:szCs w:val="20"/>
        </w:rPr>
        <w:t xml:space="preserve">the </w:t>
      </w:r>
      <w:r w:rsidR="00544F45">
        <w:rPr>
          <w:rFonts w:ascii="Arial" w:eastAsia="Times New Roman" w:hAnsi="Arial" w:cs="Arial"/>
          <w:color w:val="auto"/>
          <w:sz w:val="20"/>
          <w:szCs w:val="20"/>
        </w:rPr>
        <w:t>impact of FCCs</w:t>
      </w:r>
      <w:r w:rsidR="002A29C3">
        <w:rPr>
          <w:rFonts w:ascii="Arial" w:eastAsia="Times New Roman" w:hAnsi="Arial" w:cs="Arial"/>
          <w:color w:val="auto"/>
          <w:sz w:val="20"/>
          <w:szCs w:val="20"/>
        </w:rPr>
        <w:t xml:space="preserve">. Booked position for each quarter compared to the comparable quarter in 2019 improves </w:t>
      </w:r>
      <w:r w:rsidR="002A29C3">
        <w:rPr>
          <w:rFonts w:ascii="Arial" w:eastAsia="Times New Roman" w:hAnsi="Arial" w:cs="Arial"/>
          <w:color w:val="auto"/>
          <w:sz w:val="20"/>
          <w:szCs w:val="20"/>
        </w:rPr>
        <w:lastRenderedPageBreak/>
        <w:t>sequentially through the year</w:t>
      </w:r>
      <w:r w:rsidR="00544F45">
        <w:rPr>
          <w:rFonts w:ascii="Arial" w:eastAsia="Times New Roman" w:hAnsi="Arial" w:cs="Arial"/>
          <w:color w:val="auto"/>
          <w:sz w:val="20"/>
          <w:szCs w:val="20"/>
        </w:rPr>
        <w:t>.</w:t>
      </w:r>
      <w:r w:rsidR="002A29C3">
        <w:rPr>
          <w:rFonts w:ascii="Arial" w:eastAsia="Times New Roman" w:hAnsi="Arial" w:cs="Arial"/>
          <w:color w:val="auto"/>
          <w:sz w:val="20"/>
          <w:szCs w:val="20"/>
        </w:rPr>
        <w:t xml:space="preserve"> </w:t>
      </w:r>
      <w:r w:rsidRPr="00756B2E">
        <w:rPr>
          <w:rFonts w:ascii="Arial" w:eastAsia="Times New Roman" w:hAnsi="Arial" w:cs="Arial"/>
          <w:color w:val="auto"/>
          <w:sz w:val="20"/>
          <w:szCs w:val="20"/>
        </w:rPr>
        <w:t xml:space="preserve">Booking trends for 2023 demonstrate continued strong demand for sailings in the medium and longer term with booked position and pricing meaningfully higher and at record levels when compared to </w:t>
      </w:r>
      <w:r w:rsidR="00634B8F" w:rsidRPr="00756B2E">
        <w:rPr>
          <w:rFonts w:ascii="Arial" w:eastAsia="Times New Roman" w:hAnsi="Arial" w:cs="Arial"/>
          <w:color w:val="auto"/>
          <w:sz w:val="20"/>
          <w:szCs w:val="20"/>
        </w:rPr>
        <w:t xml:space="preserve">bookings for </w:t>
      </w:r>
      <w:r w:rsidR="00084905" w:rsidRPr="00756B2E">
        <w:rPr>
          <w:rFonts w:ascii="Arial" w:eastAsia="Times New Roman" w:hAnsi="Arial" w:cs="Arial"/>
          <w:color w:val="auto"/>
          <w:sz w:val="20"/>
          <w:szCs w:val="20"/>
        </w:rPr>
        <w:t>2020</w:t>
      </w:r>
      <w:r w:rsidR="00634B8F" w:rsidRPr="00756B2E">
        <w:rPr>
          <w:rFonts w:ascii="Arial" w:eastAsia="Times New Roman" w:hAnsi="Arial" w:cs="Arial"/>
          <w:color w:val="auto"/>
          <w:sz w:val="20"/>
          <w:szCs w:val="20"/>
        </w:rPr>
        <w:t xml:space="preserve"> in 2019</w:t>
      </w:r>
      <w:r w:rsidRPr="00756B2E">
        <w:rPr>
          <w:rFonts w:ascii="Arial" w:eastAsia="Times New Roman" w:hAnsi="Arial" w:cs="Arial"/>
          <w:color w:val="auto"/>
          <w:sz w:val="20"/>
          <w:szCs w:val="20"/>
        </w:rPr>
        <w:t>.</w:t>
      </w:r>
      <w:r w:rsidR="0085698E">
        <w:rPr>
          <w:rFonts w:ascii="Arial" w:eastAsia="Times New Roman" w:hAnsi="Arial" w:cs="Arial"/>
          <w:color w:val="auto"/>
          <w:sz w:val="20"/>
          <w:szCs w:val="20"/>
        </w:rPr>
        <w:t xml:space="preserve">  </w:t>
      </w:r>
    </w:p>
    <w:p w14:paraId="2DC99AB0" w14:textId="52EEE113" w:rsidR="00D34391" w:rsidRPr="00562BE3" w:rsidRDefault="00D34391" w:rsidP="00D34391">
      <w:pPr>
        <w:pStyle w:val="Sinespaciado"/>
        <w:spacing w:line="360" w:lineRule="auto"/>
        <w:jc w:val="both"/>
        <w:rPr>
          <w:rFonts w:ascii="Arial" w:hAnsi="Arial"/>
          <w:sz w:val="20"/>
          <w:szCs w:val="20"/>
        </w:rPr>
      </w:pPr>
      <w:bookmarkStart w:id="4" w:name="_Hlk86668577"/>
      <w:bookmarkEnd w:id="2"/>
      <w:r w:rsidRPr="00D34391">
        <w:rPr>
          <w:rFonts w:ascii="Arial" w:hAnsi="Arial"/>
          <w:sz w:val="20"/>
          <w:szCs w:val="20"/>
        </w:rPr>
        <w:t xml:space="preserve">The Company’s advance ticket sales balance was $1.8 billion, including the long-term portion, which includes approximately $0.7 </w:t>
      </w:r>
      <w:r w:rsidR="005732AA">
        <w:rPr>
          <w:rFonts w:ascii="Arial" w:hAnsi="Arial"/>
          <w:sz w:val="20"/>
          <w:szCs w:val="20"/>
        </w:rPr>
        <w:t>b</w:t>
      </w:r>
      <w:r w:rsidR="005732AA" w:rsidRPr="00D34391">
        <w:rPr>
          <w:rFonts w:ascii="Arial" w:hAnsi="Arial"/>
          <w:sz w:val="20"/>
          <w:szCs w:val="20"/>
        </w:rPr>
        <w:t xml:space="preserve">illion </w:t>
      </w:r>
      <w:r w:rsidRPr="00D34391">
        <w:rPr>
          <w:rFonts w:ascii="Arial" w:hAnsi="Arial"/>
          <w:sz w:val="20"/>
          <w:szCs w:val="20"/>
        </w:rPr>
        <w:t xml:space="preserve">of FCCs as of December 31, 2021. Gross advance ticket sales build was approximately $0.7 billion during the quarter, partially offset by over $0.4 billion in revenue recognized for completed voyages </w:t>
      </w:r>
      <w:r w:rsidR="00956796" w:rsidRPr="00F973ED">
        <w:rPr>
          <w:rFonts w:ascii="Arial" w:hAnsi="Arial"/>
          <w:sz w:val="20"/>
          <w:szCs w:val="20"/>
        </w:rPr>
        <w:t xml:space="preserve">and the remaining reduction due to </w:t>
      </w:r>
      <w:r w:rsidR="000E3029">
        <w:rPr>
          <w:rFonts w:ascii="Arial" w:hAnsi="Arial"/>
          <w:sz w:val="20"/>
          <w:szCs w:val="20"/>
        </w:rPr>
        <w:t xml:space="preserve">refunds and </w:t>
      </w:r>
      <w:r w:rsidR="00956796" w:rsidRPr="00F973ED">
        <w:rPr>
          <w:rFonts w:ascii="Arial" w:hAnsi="Arial"/>
          <w:sz w:val="20"/>
          <w:szCs w:val="20"/>
        </w:rPr>
        <w:t>customer deposits from cancelled voyages announced in January 2022 which were reclassified to refunds payable at year-end</w:t>
      </w:r>
      <w:r w:rsidRPr="00D34391">
        <w:rPr>
          <w:rFonts w:ascii="Arial" w:hAnsi="Arial"/>
          <w:sz w:val="20"/>
          <w:szCs w:val="20"/>
        </w:rPr>
        <w:t xml:space="preserve">.  </w:t>
      </w:r>
    </w:p>
    <w:bookmarkEnd w:id="4"/>
    <w:p w14:paraId="406C0B5B" w14:textId="59BA48A7" w:rsidR="00760E42" w:rsidRPr="00562BE3" w:rsidRDefault="004550F0" w:rsidP="00760E42">
      <w:pPr>
        <w:pStyle w:val="Sinespaciado"/>
        <w:tabs>
          <w:tab w:val="left" w:pos="1000"/>
        </w:tabs>
        <w:spacing w:line="360" w:lineRule="auto"/>
        <w:jc w:val="both"/>
        <w:rPr>
          <w:rFonts w:ascii="Arial" w:eastAsia="Arial Unicode MS" w:hAnsi="Arial" w:cs="Arial Unicode MS"/>
          <w:b/>
          <w:bCs/>
          <w:sz w:val="20"/>
          <w:szCs w:val="20"/>
          <w:u w:val="single"/>
          <w:bdr w:val="nil"/>
        </w:rPr>
      </w:pPr>
      <w:r w:rsidRPr="00562BE3">
        <w:rPr>
          <w:rFonts w:ascii="Arial" w:eastAsia="Arial Unicode MS" w:hAnsi="Arial" w:cs="Arial Unicode MS"/>
          <w:b/>
          <w:bCs/>
          <w:sz w:val="20"/>
          <w:szCs w:val="20"/>
          <w:u w:val="single"/>
          <w:bdr w:val="nil"/>
        </w:rPr>
        <w:t>Liquidity</w:t>
      </w:r>
      <w:r w:rsidR="00C41E93" w:rsidRPr="00562BE3">
        <w:rPr>
          <w:rFonts w:ascii="Arial" w:eastAsia="Arial Unicode MS" w:hAnsi="Arial" w:cs="Arial Unicode MS"/>
          <w:b/>
          <w:bCs/>
          <w:sz w:val="20"/>
          <w:szCs w:val="20"/>
          <w:u w:val="single"/>
          <w:bdr w:val="nil"/>
        </w:rPr>
        <w:t>, Cash Burn</w:t>
      </w:r>
      <w:r w:rsidRPr="00562BE3">
        <w:rPr>
          <w:rFonts w:ascii="Arial" w:eastAsia="Arial Unicode MS" w:hAnsi="Arial" w:cs="Arial Unicode MS"/>
          <w:b/>
          <w:bCs/>
          <w:sz w:val="20"/>
          <w:szCs w:val="20"/>
          <w:u w:val="single"/>
          <w:bdr w:val="nil"/>
        </w:rPr>
        <w:t xml:space="preserve"> and </w:t>
      </w:r>
      <w:r w:rsidR="0044520F" w:rsidRPr="00562BE3">
        <w:rPr>
          <w:rFonts w:ascii="Arial" w:eastAsia="Arial Unicode MS" w:hAnsi="Arial" w:cs="Arial Unicode MS"/>
          <w:b/>
          <w:bCs/>
          <w:sz w:val="20"/>
          <w:szCs w:val="20"/>
          <w:u w:val="single"/>
          <w:bdr w:val="nil"/>
        </w:rPr>
        <w:t>Financial</w:t>
      </w:r>
      <w:r w:rsidR="00760E42" w:rsidRPr="00562BE3">
        <w:rPr>
          <w:rFonts w:ascii="Arial" w:eastAsia="Arial Unicode MS" w:hAnsi="Arial" w:cs="Arial Unicode MS"/>
          <w:b/>
          <w:bCs/>
          <w:sz w:val="20"/>
          <w:szCs w:val="20"/>
          <w:u w:val="single"/>
          <w:bdr w:val="nil"/>
        </w:rPr>
        <w:t xml:space="preserve"> </w:t>
      </w:r>
      <w:r w:rsidR="0020114E" w:rsidRPr="00562BE3">
        <w:rPr>
          <w:rFonts w:ascii="Arial" w:eastAsia="Arial Unicode MS" w:hAnsi="Arial" w:cs="Arial Unicode MS"/>
          <w:b/>
          <w:bCs/>
          <w:sz w:val="20"/>
          <w:szCs w:val="20"/>
          <w:u w:val="single"/>
          <w:bdr w:val="nil"/>
        </w:rPr>
        <w:t>Recovery</w:t>
      </w:r>
      <w:r w:rsidR="00760E42" w:rsidRPr="00562BE3">
        <w:rPr>
          <w:rFonts w:ascii="Arial" w:eastAsia="Arial Unicode MS" w:hAnsi="Arial" w:cs="Arial Unicode MS"/>
          <w:b/>
          <w:bCs/>
          <w:sz w:val="20"/>
          <w:szCs w:val="20"/>
          <w:u w:val="single"/>
          <w:bdr w:val="nil"/>
        </w:rPr>
        <w:t xml:space="preserve"> Plan</w:t>
      </w:r>
    </w:p>
    <w:p w14:paraId="6E0D908A" w14:textId="1CEEDDF5" w:rsidR="00760E42" w:rsidRPr="00562BE3" w:rsidRDefault="00760E42" w:rsidP="00760E42">
      <w:pPr>
        <w:pStyle w:val="Sinespaciado"/>
        <w:spacing w:line="360" w:lineRule="auto"/>
        <w:jc w:val="both"/>
        <w:rPr>
          <w:rFonts w:ascii="Arial" w:eastAsia="Arial" w:hAnsi="Arial" w:cs="Arial"/>
          <w:sz w:val="20"/>
          <w:szCs w:val="20"/>
        </w:rPr>
      </w:pPr>
      <w:r w:rsidRPr="00562BE3">
        <w:rPr>
          <w:rFonts w:ascii="Arial" w:eastAsia="Arial Unicode MS" w:hAnsi="Arial" w:cs="Arial Unicode MS"/>
          <w:sz w:val="20"/>
          <w:szCs w:val="20"/>
          <w:bdr w:val="nil"/>
        </w:rPr>
        <w:t xml:space="preserve">The Company </w:t>
      </w:r>
      <w:r w:rsidR="008B25B3" w:rsidRPr="00562BE3">
        <w:rPr>
          <w:rFonts w:ascii="Arial" w:eastAsia="Arial Unicode MS" w:hAnsi="Arial" w:cs="Arial Unicode MS"/>
          <w:sz w:val="20"/>
          <w:szCs w:val="20"/>
          <w:bdr w:val="nil"/>
        </w:rPr>
        <w:t xml:space="preserve">continues to </w:t>
      </w:r>
      <w:r w:rsidR="00693691" w:rsidRPr="00562BE3">
        <w:rPr>
          <w:rFonts w:ascii="Arial" w:eastAsia="Arial Unicode MS" w:hAnsi="Arial" w:cs="Arial Unicode MS"/>
          <w:sz w:val="20"/>
          <w:szCs w:val="20"/>
          <w:bdr w:val="nil"/>
        </w:rPr>
        <w:t>tak</w:t>
      </w:r>
      <w:r w:rsidR="008B25B3" w:rsidRPr="00562BE3">
        <w:rPr>
          <w:rFonts w:ascii="Arial" w:eastAsia="Arial Unicode MS" w:hAnsi="Arial" w:cs="Arial Unicode MS"/>
          <w:sz w:val="20"/>
          <w:szCs w:val="20"/>
          <w:bdr w:val="nil"/>
        </w:rPr>
        <w:t>e</w:t>
      </w:r>
      <w:r w:rsidR="00693691" w:rsidRPr="00562BE3">
        <w:rPr>
          <w:rFonts w:ascii="Arial" w:eastAsia="Arial Unicode MS" w:hAnsi="Arial" w:cs="Arial Unicode MS"/>
          <w:sz w:val="20"/>
          <w:szCs w:val="20"/>
          <w:bdr w:val="nil"/>
        </w:rPr>
        <w:t xml:space="preserve"> </w:t>
      </w:r>
      <w:r w:rsidR="0045774C" w:rsidRPr="00562BE3">
        <w:rPr>
          <w:rFonts w:ascii="Arial" w:eastAsia="Arial Unicode MS" w:hAnsi="Arial" w:cs="Arial Unicode MS"/>
          <w:sz w:val="20"/>
          <w:szCs w:val="20"/>
          <w:bdr w:val="nil"/>
        </w:rPr>
        <w:t>proactive</w:t>
      </w:r>
      <w:r w:rsidR="00D85DD3" w:rsidRPr="00562BE3">
        <w:rPr>
          <w:rFonts w:ascii="Arial" w:eastAsia="Arial Unicode MS" w:hAnsi="Arial" w:cs="Arial Unicode MS"/>
          <w:sz w:val="20"/>
          <w:szCs w:val="20"/>
          <w:bdr w:val="nil"/>
        </w:rPr>
        <w:t xml:space="preserve"> </w:t>
      </w:r>
      <w:r w:rsidR="00D5055B" w:rsidRPr="00562BE3">
        <w:rPr>
          <w:rFonts w:ascii="Arial" w:eastAsia="Arial Unicode MS" w:hAnsi="Arial" w:cs="Arial Unicode MS"/>
          <w:sz w:val="20"/>
          <w:szCs w:val="20"/>
          <w:bdr w:val="nil"/>
        </w:rPr>
        <w:t xml:space="preserve">measures </w:t>
      </w:r>
      <w:r w:rsidR="00D979D7" w:rsidRPr="00562BE3">
        <w:rPr>
          <w:rFonts w:ascii="Arial" w:eastAsia="Arial Unicode MS" w:hAnsi="Arial" w:cs="Arial Unicode MS"/>
          <w:sz w:val="20"/>
          <w:szCs w:val="20"/>
          <w:bdr w:val="nil"/>
        </w:rPr>
        <w:t>to</w:t>
      </w:r>
      <w:r w:rsidR="00D11C9D" w:rsidRPr="00562BE3">
        <w:rPr>
          <w:rFonts w:ascii="Arial" w:eastAsia="Arial Unicode MS" w:hAnsi="Arial" w:cs="Arial Unicode MS"/>
          <w:sz w:val="20"/>
          <w:szCs w:val="20"/>
          <w:bdr w:val="nil"/>
        </w:rPr>
        <w:t xml:space="preserve"> enhance liquidity and </w:t>
      </w:r>
      <w:r w:rsidR="003621D4" w:rsidRPr="00562BE3">
        <w:rPr>
          <w:rFonts w:ascii="Arial" w:eastAsia="Arial Unicode MS" w:hAnsi="Arial" w:cs="Arial Unicode MS"/>
          <w:sz w:val="20"/>
          <w:szCs w:val="20"/>
          <w:bdr w:val="nil"/>
        </w:rPr>
        <w:t xml:space="preserve">financial flexibility </w:t>
      </w:r>
      <w:r w:rsidR="00D11C9D" w:rsidRPr="00562BE3">
        <w:rPr>
          <w:rFonts w:ascii="Arial" w:eastAsia="Arial Unicode MS" w:hAnsi="Arial" w:cs="Arial Unicode MS"/>
          <w:sz w:val="20"/>
          <w:szCs w:val="20"/>
          <w:bdr w:val="nil"/>
        </w:rPr>
        <w:t>in the current environment</w:t>
      </w:r>
      <w:r w:rsidR="0020114E" w:rsidRPr="00562BE3">
        <w:rPr>
          <w:rFonts w:ascii="Arial" w:eastAsia="Arial Unicode MS" w:hAnsi="Arial" w:cs="Arial Unicode MS"/>
          <w:sz w:val="20"/>
          <w:szCs w:val="20"/>
          <w:bdr w:val="nil"/>
        </w:rPr>
        <w:t xml:space="preserve"> and optimize its balance sheet</w:t>
      </w:r>
      <w:r w:rsidR="00FE5333" w:rsidRPr="00562BE3">
        <w:rPr>
          <w:rFonts w:ascii="Arial" w:eastAsia="Arial" w:hAnsi="Arial" w:cs="Arial"/>
          <w:sz w:val="20"/>
          <w:szCs w:val="20"/>
        </w:rPr>
        <w:t xml:space="preserve">. </w:t>
      </w:r>
      <w:r w:rsidR="009D64DF" w:rsidRPr="00562BE3">
        <w:rPr>
          <w:rFonts w:ascii="Arial" w:eastAsia="Arial" w:hAnsi="Arial" w:cs="Arial"/>
          <w:sz w:val="20"/>
          <w:szCs w:val="20"/>
        </w:rPr>
        <w:t>As of</w:t>
      </w:r>
      <w:r w:rsidR="00D11C9D" w:rsidRPr="00562BE3">
        <w:rPr>
          <w:rFonts w:ascii="Arial" w:eastAsia="Arial" w:hAnsi="Arial" w:cs="Arial"/>
          <w:sz w:val="20"/>
          <w:szCs w:val="20"/>
        </w:rPr>
        <w:t xml:space="preserve"> </w:t>
      </w:r>
      <w:r w:rsidR="0020114E" w:rsidRPr="00562BE3">
        <w:rPr>
          <w:rFonts w:ascii="Arial" w:eastAsia="Arial" w:hAnsi="Arial" w:cs="Arial"/>
          <w:sz w:val="20"/>
          <w:szCs w:val="20"/>
        </w:rPr>
        <w:t xml:space="preserve">December </w:t>
      </w:r>
      <w:r w:rsidR="009D64DF" w:rsidRPr="00562BE3">
        <w:rPr>
          <w:rFonts w:ascii="Arial" w:eastAsia="Arial" w:hAnsi="Arial" w:cs="Arial"/>
          <w:sz w:val="20"/>
          <w:szCs w:val="20"/>
        </w:rPr>
        <w:t>3</w:t>
      </w:r>
      <w:r w:rsidR="0020114E" w:rsidRPr="00562BE3">
        <w:rPr>
          <w:rFonts w:ascii="Arial" w:eastAsia="Arial" w:hAnsi="Arial" w:cs="Arial"/>
          <w:sz w:val="20"/>
          <w:szCs w:val="20"/>
        </w:rPr>
        <w:t>1</w:t>
      </w:r>
      <w:r w:rsidR="009D64DF" w:rsidRPr="00562BE3">
        <w:rPr>
          <w:rFonts w:ascii="Arial" w:eastAsia="Arial" w:hAnsi="Arial" w:cs="Arial"/>
          <w:sz w:val="20"/>
          <w:szCs w:val="20"/>
        </w:rPr>
        <w:t>, 202</w:t>
      </w:r>
      <w:r w:rsidR="00134EBA" w:rsidRPr="00562BE3">
        <w:rPr>
          <w:rFonts w:ascii="Arial" w:eastAsia="Arial" w:hAnsi="Arial" w:cs="Arial"/>
          <w:sz w:val="20"/>
          <w:szCs w:val="20"/>
        </w:rPr>
        <w:t>1</w:t>
      </w:r>
      <w:r w:rsidR="009D64DF" w:rsidRPr="00562BE3">
        <w:rPr>
          <w:rFonts w:ascii="Arial" w:eastAsia="Arial" w:hAnsi="Arial" w:cs="Arial"/>
          <w:sz w:val="20"/>
          <w:szCs w:val="20"/>
        </w:rPr>
        <w:t>, the Company’s total debt position was $</w:t>
      </w:r>
      <w:r w:rsidR="00D0014F">
        <w:rPr>
          <w:rFonts w:ascii="Arial" w:eastAsia="Arial" w:hAnsi="Arial" w:cs="Arial"/>
          <w:sz w:val="20"/>
          <w:szCs w:val="20"/>
        </w:rPr>
        <w:t>12.4</w:t>
      </w:r>
      <w:r w:rsidR="009D64DF" w:rsidRPr="00562BE3">
        <w:rPr>
          <w:rFonts w:ascii="Arial" w:eastAsia="Arial" w:hAnsi="Arial" w:cs="Arial"/>
          <w:sz w:val="20"/>
          <w:szCs w:val="20"/>
        </w:rPr>
        <w:t xml:space="preserve"> billion and the Company’s </w:t>
      </w:r>
      <w:r w:rsidR="00612DBC" w:rsidRPr="00562BE3">
        <w:rPr>
          <w:rFonts w:ascii="Arial" w:eastAsia="Arial" w:hAnsi="Arial" w:cs="Arial"/>
          <w:sz w:val="20"/>
          <w:szCs w:val="20"/>
        </w:rPr>
        <w:t>liquidity was $2.7 billion, consisting of cash and cash equivalents, short-term investments and a $1</w:t>
      </w:r>
      <w:r w:rsidR="00732083">
        <w:rPr>
          <w:rFonts w:ascii="Arial" w:eastAsia="Arial" w:hAnsi="Arial" w:cs="Arial"/>
          <w:sz w:val="20"/>
          <w:szCs w:val="20"/>
        </w:rPr>
        <w:t>.0</w:t>
      </w:r>
      <w:r w:rsidR="00612DBC" w:rsidRPr="00562BE3">
        <w:rPr>
          <w:rFonts w:ascii="Arial" w:eastAsia="Arial" w:hAnsi="Arial" w:cs="Arial"/>
          <w:sz w:val="20"/>
          <w:szCs w:val="20"/>
        </w:rPr>
        <w:t xml:space="preserve"> billion commitment available </w:t>
      </w:r>
      <w:r w:rsidR="00612DBC" w:rsidRPr="003228F2">
        <w:rPr>
          <w:rFonts w:ascii="Arial" w:eastAsia="Arial" w:hAnsi="Arial" w:cs="Arial"/>
          <w:sz w:val="20"/>
          <w:szCs w:val="20"/>
        </w:rPr>
        <w:t>through August 15, 2022.</w:t>
      </w:r>
      <w:r w:rsidR="00612DBC" w:rsidRPr="00562BE3">
        <w:rPr>
          <w:rFonts w:ascii="Arial" w:eastAsia="Arial" w:hAnsi="Arial" w:cs="Arial"/>
          <w:sz w:val="20"/>
          <w:szCs w:val="20"/>
        </w:rPr>
        <w:t xml:space="preserve"> </w:t>
      </w:r>
    </w:p>
    <w:p w14:paraId="7EFAF1A1" w14:textId="4009795F" w:rsidR="00E94575" w:rsidRPr="00562BE3" w:rsidRDefault="00E94575" w:rsidP="00760E42">
      <w:pPr>
        <w:pStyle w:val="Sinespaciado"/>
        <w:spacing w:line="360" w:lineRule="auto"/>
        <w:jc w:val="both"/>
        <w:rPr>
          <w:rFonts w:ascii="Arial" w:eastAsia="Arial" w:hAnsi="Arial" w:cs="Arial"/>
          <w:sz w:val="20"/>
          <w:szCs w:val="20"/>
        </w:rPr>
      </w:pPr>
      <w:r w:rsidRPr="00562BE3">
        <w:rPr>
          <w:rFonts w:ascii="Arial" w:eastAsia="Arial" w:hAnsi="Arial" w:cs="Arial"/>
          <w:sz w:val="20"/>
          <w:szCs w:val="20"/>
        </w:rPr>
        <w:t>The Company has taken the following additional actions</w:t>
      </w:r>
      <w:r w:rsidR="00885C3C" w:rsidRPr="00562BE3">
        <w:rPr>
          <w:rFonts w:ascii="Arial" w:eastAsia="Arial" w:hAnsi="Arial" w:cs="Arial"/>
          <w:sz w:val="20"/>
          <w:szCs w:val="20"/>
        </w:rPr>
        <w:t xml:space="preserve"> to enhance </w:t>
      </w:r>
      <w:r w:rsidR="00AC776E" w:rsidRPr="00562BE3">
        <w:rPr>
          <w:rFonts w:ascii="Arial" w:eastAsia="Arial" w:hAnsi="Arial" w:cs="Arial"/>
          <w:sz w:val="20"/>
          <w:szCs w:val="20"/>
        </w:rPr>
        <w:t xml:space="preserve">its </w:t>
      </w:r>
      <w:r w:rsidR="00885C3C" w:rsidRPr="00562BE3">
        <w:rPr>
          <w:rFonts w:ascii="Arial" w:eastAsia="Arial" w:hAnsi="Arial" w:cs="Arial"/>
          <w:sz w:val="20"/>
          <w:szCs w:val="20"/>
        </w:rPr>
        <w:t>liquidity</w:t>
      </w:r>
      <w:r w:rsidR="004E5358" w:rsidRPr="00562BE3">
        <w:rPr>
          <w:rFonts w:ascii="Arial" w:eastAsia="Arial" w:hAnsi="Arial" w:cs="Arial"/>
          <w:sz w:val="20"/>
          <w:szCs w:val="20"/>
        </w:rPr>
        <w:t xml:space="preserve"> profile</w:t>
      </w:r>
      <w:r w:rsidRPr="00562BE3">
        <w:rPr>
          <w:rFonts w:ascii="Arial" w:eastAsia="Arial" w:hAnsi="Arial" w:cs="Arial"/>
          <w:sz w:val="20"/>
          <w:szCs w:val="20"/>
        </w:rPr>
        <w:t xml:space="preserve"> </w:t>
      </w:r>
      <w:r w:rsidR="00096DE3" w:rsidRPr="00562BE3">
        <w:rPr>
          <w:rFonts w:ascii="Arial" w:eastAsia="Arial" w:hAnsi="Arial" w:cs="Arial"/>
          <w:sz w:val="20"/>
          <w:szCs w:val="20"/>
        </w:rPr>
        <w:t xml:space="preserve">and financial flexibility </w:t>
      </w:r>
      <w:r w:rsidRPr="008A09C4">
        <w:rPr>
          <w:rFonts w:ascii="Arial" w:eastAsia="Arial" w:hAnsi="Arial" w:cs="Arial"/>
          <w:sz w:val="20"/>
          <w:szCs w:val="20"/>
        </w:rPr>
        <w:t xml:space="preserve">since </w:t>
      </w:r>
      <w:r w:rsidR="00196E78" w:rsidRPr="008A09C4">
        <w:rPr>
          <w:rFonts w:ascii="Arial" w:eastAsia="Arial" w:hAnsi="Arial" w:cs="Arial"/>
          <w:sz w:val="20"/>
          <w:szCs w:val="20"/>
        </w:rPr>
        <w:t>the end of the third quarter</w:t>
      </w:r>
      <w:r w:rsidRPr="008A09C4">
        <w:rPr>
          <w:rFonts w:ascii="Arial" w:eastAsia="Arial" w:hAnsi="Arial" w:cs="Arial"/>
          <w:sz w:val="20"/>
          <w:szCs w:val="20"/>
        </w:rPr>
        <w:t>:</w:t>
      </w:r>
      <w:r w:rsidRPr="00562BE3">
        <w:rPr>
          <w:rFonts w:ascii="Arial" w:eastAsia="Arial" w:hAnsi="Arial" w:cs="Arial"/>
          <w:sz w:val="20"/>
          <w:szCs w:val="20"/>
        </w:rPr>
        <w:t xml:space="preserve"> </w:t>
      </w:r>
    </w:p>
    <w:p w14:paraId="51157986" w14:textId="2B251362" w:rsidR="00562BE3" w:rsidRPr="00562BE3" w:rsidRDefault="002D453B" w:rsidP="00562BE3">
      <w:pPr>
        <w:pStyle w:val="Listaconvietas"/>
        <w:numPr>
          <w:ilvl w:val="0"/>
          <w:numId w:val="25"/>
        </w:numPr>
        <w:spacing w:line="360" w:lineRule="auto"/>
        <w:rPr>
          <w:rFonts w:ascii="Arial" w:eastAsia="Times New Roman" w:hAnsi="Arial" w:cs="Arial"/>
          <w:szCs w:val="20"/>
        </w:rPr>
      </w:pPr>
      <w:r w:rsidRPr="00562BE3">
        <w:rPr>
          <w:rFonts w:ascii="Arial" w:hAnsi="Arial"/>
          <w:szCs w:val="20"/>
        </w:rPr>
        <w:t>In November 2021, the Company completed a series of balance sheet and cash flow optimization transactions.</w:t>
      </w:r>
      <w:r w:rsidRPr="00562BE3">
        <w:t xml:space="preserve"> As a </w:t>
      </w:r>
      <w:r w:rsidRPr="00562BE3">
        <w:rPr>
          <w:rFonts w:ascii="Arial" w:hAnsi="Arial"/>
          <w:szCs w:val="20"/>
        </w:rPr>
        <w:t>result of these strategic transactions</w:t>
      </w:r>
      <w:r w:rsidR="00833CA6">
        <w:rPr>
          <w:rFonts w:ascii="Arial" w:hAnsi="Arial"/>
          <w:szCs w:val="20"/>
        </w:rPr>
        <w:t>,</w:t>
      </w:r>
      <w:r w:rsidRPr="00562BE3">
        <w:rPr>
          <w:rFonts w:ascii="Arial" w:hAnsi="Arial"/>
          <w:szCs w:val="20"/>
        </w:rPr>
        <w:t xml:space="preserve"> the Company reduced its annual interest expense, lowered leverage, extended the Company’s debt maturity profile and increased its liquidity. In addition, assuming the 1.125% exchangeable senior notes due 2027 </w:t>
      </w:r>
      <w:r w:rsidR="00E21ED8">
        <w:rPr>
          <w:rFonts w:ascii="Arial" w:hAnsi="Arial"/>
          <w:szCs w:val="20"/>
        </w:rPr>
        <w:t xml:space="preserve">that were issued then </w:t>
      </w:r>
      <w:r w:rsidRPr="00562BE3">
        <w:rPr>
          <w:rFonts w:ascii="Arial" w:hAnsi="Arial"/>
          <w:szCs w:val="20"/>
        </w:rPr>
        <w:t>are settled entirely in cash, at the Company’s election, the Company will also benefit from a net reduction in its diluted shares outstanding of approximately 5.2 million shares</w:t>
      </w:r>
      <w:r w:rsidR="005732AA">
        <w:rPr>
          <w:rStyle w:val="Refdenotaalpie"/>
          <w:rFonts w:ascii="Arial" w:hAnsi="Arial"/>
          <w:szCs w:val="20"/>
        </w:rPr>
        <w:footnoteReference w:id="3"/>
      </w:r>
      <w:r w:rsidRPr="00562BE3">
        <w:rPr>
          <w:rFonts w:ascii="Arial" w:hAnsi="Arial"/>
          <w:szCs w:val="20"/>
        </w:rPr>
        <w:t>.</w:t>
      </w:r>
      <w:r w:rsidRPr="00562BE3">
        <w:rPr>
          <w:rFonts w:ascii="Arial" w:eastAsia="Arial Unicode MS" w:hAnsi="Arial" w:cs="Arial Unicode MS"/>
          <w:szCs w:val="20"/>
          <w:bdr w:val="nil"/>
        </w:rPr>
        <w:t xml:space="preserve"> </w:t>
      </w:r>
      <w:r w:rsidRPr="00562BE3">
        <w:rPr>
          <w:rFonts w:ascii="Arial" w:hAnsi="Arial"/>
          <w:szCs w:val="20"/>
        </w:rPr>
        <w:t xml:space="preserve">For additional details on this transaction view the Company’s </w:t>
      </w:r>
      <w:hyperlink r:id="rId8" w:history="1">
        <w:r w:rsidR="00562BE3" w:rsidRPr="00562BE3">
          <w:rPr>
            <w:rStyle w:val="Hipervnculo"/>
            <w:rFonts w:ascii="Arial" w:eastAsia="Times New Roman" w:hAnsi="Arial" w:cs="Arial"/>
            <w:szCs w:val="20"/>
          </w:rPr>
          <w:t>press release</w:t>
        </w:r>
      </w:hyperlink>
      <w:r w:rsidRPr="00562BE3">
        <w:rPr>
          <w:rFonts w:ascii="Arial" w:hAnsi="Arial"/>
          <w:szCs w:val="20"/>
        </w:rPr>
        <w:t xml:space="preserve"> and </w:t>
      </w:r>
      <w:hyperlink r:id="rId9" w:history="1">
        <w:r w:rsidR="00562BE3" w:rsidRPr="00562BE3">
          <w:rPr>
            <w:rStyle w:val="Hipervnculo"/>
            <w:rFonts w:ascii="Arial" w:eastAsia="Times New Roman" w:hAnsi="Arial" w:cs="Arial"/>
            <w:szCs w:val="20"/>
          </w:rPr>
          <w:t>investor presentation</w:t>
        </w:r>
      </w:hyperlink>
      <w:r w:rsidRPr="00562BE3">
        <w:rPr>
          <w:rFonts w:ascii="Arial" w:hAnsi="Arial"/>
          <w:szCs w:val="20"/>
        </w:rPr>
        <w:t>.</w:t>
      </w:r>
    </w:p>
    <w:p w14:paraId="73D0BAE7" w14:textId="315281C6" w:rsidR="00762CBF" w:rsidRPr="00562BE3" w:rsidRDefault="00E21ED8" w:rsidP="00762CBF">
      <w:pPr>
        <w:pStyle w:val="Sinespaciado"/>
        <w:numPr>
          <w:ilvl w:val="0"/>
          <w:numId w:val="25"/>
        </w:numPr>
        <w:spacing w:line="360" w:lineRule="auto"/>
        <w:rPr>
          <w:rFonts w:ascii="Arial" w:eastAsia="Arial Unicode MS" w:hAnsi="Arial" w:cs="Arial Unicode MS"/>
          <w:sz w:val="20"/>
          <w:szCs w:val="20"/>
          <w:bdr w:val="nil"/>
        </w:rPr>
      </w:pPr>
      <w:r w:rsidRPr="00E21ED8">
        <w:rPr>
          <w:rFonts w:ascii="Arial" w:eastAsia="Arial Unicode MS" w:hAnsi="Arial" w:cs="Arial Unicode MS"/>
          <w:sz w:val="20"/>
          <w:szCs w:val="20"/>
          <w:bdr w:val="nil"/>
        </w:rPr>
        <w:t>In February 2022, the Company raised</w:t>
      </w:r>
      <w:r w:rsidR="0023453F">
        <w:rPr>
          <w:rFonts w:ascii="Arial" w:eastAsia="Arial Unicode MS" w:hAnsi="Arial" w:cs="Arial Unicode MS"/>
          <w:sz w:val="20"/>
          <w:szCs w:val="20"/>
          <w:bdr w:val="nil"/>
        </w:rPr>
        <w:t xml:space="preserve"> approximately</w:t>
      </w:r>
      <w:r w:rsidRPr="00E21ED8">
        <w:rPr>
          <w:rFonts w:ascii="Arial" w:eastAsia="Arial Unicode MS" w:hAnsi="Arial" w:cs="Arial Unicode MS"/>
          <w:sz w:val="20"/>
          <w:szCs w:val="20"/>
          <w:bdr w:val="nil"/>
        </w:rPr>
        <w:t xml:space="preserve"> </w:t>
      </w:r>
      <w:r w:rsidRPr="00EC1678">
        <w:rPr>
          <w:rFonts w:ascii="Arial" w:eastAsia="Arial Unicode MS" w:hAnsi="Arial" w:cs="Arial Unicode MS"/>
          <w:sz w:val="20"/>
          <w:szCs w:val="20"/>
          <w:bdr w:val="nil"/>
        </w:rPr>
        <w:t>$</w:t>
      </w:r>
      <w:r w:rsidRPr="0039391E">
        <w:rPr>
          <w:rFonts w:ascii="Arial" w:eastAsia="Arial Unicode MS" w:hAnsi="Arial"/>
          <w:sz w:val="20"/>
          <w:bdr w:val="nil"/>
        </w:rPr>
        <w:t>2.</w:t>
      </w:r>
      <w:r w:rsidR="006D1C15">
        <w:rPr>
          <w:rFonts w:ascii="Arial" w:eastAsia="Arial Unicode MS" w:hAnsi="Arial" w:cs="Arial Unicode MS"/>
          <w:sz w:val="20"/>
          <w:szCs w:val="20"/>
          <w:bdr w:val="nil"/>
        </w:rPr>
        <w:t>1</w:t>
      </w:r>
      <w:r w:rsidR="006D1C15" w:rsidRPr="0039391E">
        <w:rPr>
          <w:rFonts w:ascii="Arial" w:eastAsia="Arial Unicode MS" w:hAnsi="Arial"/>
          <w:sz w:val="20"/>
          <w:bdr w:val="nil"/>
        </w:rPr>
        <w:t xml:space="preserve"> </w:t>
      </w:r>
      <w:r w:rsidRPr="0039391E">
        <w:rPr>
          <w:rFonts w:ascii="Arial" w:eastAsia="Arial Unicode MS" w:hAnsi="Arial"/>
          <w:sz w:val="20"/>
          <w:bdr w:val="nil"/>
        </w:rPr>
        <w:t>billion</w:t>
      </w:r>
      <w:r w:rsidRPr="00E21ED8">
        <w:rPr>
          <w:rFonts w:ascii="Arial" w:eastAsia="Arial Unicode MS" w:hAnsi="Arial" w:cs="Arial Unicode MS"/>
          <w:sz w:val="20"/>
          <w:szCs w:val="20"/>
          <w:bdr w:val="nil"/>
        </w:rPr>
        <w:t xml:space="preserve"> through a </w:t>
      </w:r>
      <w:r w:rsidR="00082EC9">
        <w:rPr>
          <w:rFonts w:ascii="Arial" w:eastAsia="Arial Unicode MS" w:hAnsi="Arial" w:cs="Arial Unicode MS"/>
          <w:sz w:val="20"/>
          <w:szCs w:val="20"/>
          <w:bdr w:val="nil"/>
        </w:rPr>
        <w:t>series</w:t>
      </w:r>
      <w:r w:rsidR="00082EC9" w:rsidRPr="00E21ED8">
        <w:rPr>
          <w:rFonts w:ascii="Arial" w:eastAsia="Arial Unicode MS" w:hAnsi="Arial" w:cs="Arial Unicode MS"/>
          <w:sz w:val="20"/>
          <w:szCs w:val="20"/>
          <w:bdr w:val="nil"/>
        </w:rPr>
        <w:t xml:space="preserve"> </w:t>
      </w:r>
      <w:r w:rsidRPr="00E21ED8">
        <w:rPr>
          <w:rFonts w:ascii="Arial" w:eastAsia="Arial Unicode MS" w:hAnsi="Arial" w:cs="Arial Unicode MS"/>
          <w:sz w:val="20"/>
          <w:szCs w:val="20"/>
          <w:bdr w:val="nil"/>
        </w:rPr>
        <w:t xml:space="preserve">of debt transactions </w:t>
      </w:r>
      <w:proofErr w:type="gramStart"/>
      <w:r w:rsidRPr="00E21ED8">
        <w:rPr>
          <w:rFonts w:ascii="Arial" w:eastAsia="Arial Unicode MS" w:hAnsi="Arial" w:cs="Arial Unicode MS"/>
          <w:sz w:val="20"/>
          <w:szCs w:val="20"/>
          <w:bdr w:val="nil"/>
        </w:rPr>
        <w:t>to further optimize</w:t>
      </w:r>
      <w:proofErr w:type="gramEnd"/>
      <w:r w:rsidRPr="00E21ED8">
        <w:rPr>
          <w:rFonts w:ascii="Arial" w:eastAsia="Arial Unicode MS" w:hAnsi="Arial" w:cs="Arial Unicode MS"/>
          <w:sz w:val="20"/>
          <w:szCs w:val="20"/>
          <w:bdr w:val="nil"/>
        </w:rPr>
        <w:t xml:space="preserve"> its balance sheet.  </w:t>
      </w:r>
      <w:proofErr w:type="gramStart"/>
      <w:r w:rsidRPr="00E21ED8">
        <w:rPr>
          <w:rFonts w:ascii="Arial" w:eastAsia="Arial Unicode MS" w:hAnsi="Arial" w:cs="Arial Unicode MS"/>
          <w:sz w:val="20"/>
          <w:szCs w:val="20"/>
          <w:bdr w:val="nil"/>
        </w:rPr>
        <w:t xml:space="preserve">The proceeds from these transactions </w:t>
      </w:r>
      <w:r w:rsidR="00196E78">
        <w:rPr>
          <w:rFonts w:ascii="Arial" w:eastAsia="Arial Unicode MS" w:hAnsi="Arial" w:cs="Arial Unicode MS"/>
          <w:sz w:val="20"/>
          <w:szCs w:val="20"/>
          <w:bdr w:val="nil"/>
        </w:rPr>
        <w:t>were</w:t>
      </w:r>
      <w:r w:rsidRPr="00E21ED8">
        <w:rPr>
          <w:rFonts w:ascii="Arial" w:eastAsia="Arial Unicode MS" w:hAnsi="Arial" w:cs="Arial Unicode MS"/>
          <w:sz w:val="20"/>
          <w:szCs w:val="20"/>
          <w:bdr w:val="nil"/>
        </w:rPr>
        <w:t xml:space="preserve"> used to redeem all of the outstanding 12.25% senior secured notes due 2024 and 10.250% senior secured notes due 2026, and </w:t>
      </w:r>
      <w:r w:rsidR="005732AA">
        <w:rPr>
          <w:rFonts w:ascii="Arial" w:eastAsia="Arial Unicode MS" w:hAnsi="Arial" w:cs="Arial Unicode MS"/>
          <w:sz w:val="20"/>
          <w:szCs w:val="20"/>
          <w:bdr w:val="nil"/>
        </w:rPr>
        <w:t xml:space="preserve">are expected to be used </w:t>
      </w:r>
      <w:r w:rsidRPr="00E21ED8">
        <w:rPr>
          <w:rFonts w:ascii="Arial" w:eastAsia="Arial Unicode MS" w:hAnsi="Arial" w:cs="Arial Unicode MS"/>
          <w:sz w:val="20"/>
          <w:szCs w:val="20"/>
          <w:bdr w:val="nil"/>
        </w:rPr>
        <w:t>to make principal payments on debt maturing in the short-term, including</w:t>
      </w:r>
      <w:r w:rsidR="00196E78">
        <w:rPr>
          <w:rFonts w:ascii="Arial" w:eastAsia="Arial Unicode MS" w:hAnsi="Arial" w:cs="Arial Unicode MS"/>
          <w:sz w:val="20"/>
          <w:szCs w:val="20"/>
          <w:bdr w:val="nil"/>
        </w:rPr>
        <w:t xml:space="preserve"> </w:t>
      </w:r>
      <w:r w:rsidRPr="00E21ED8">
        <w:rPr>
          <w:rFonts w:ascii="Arial" w:eastAsia="Arial Unicode MS" w:hAnsi="Arial" w:cs="Arial Unicode MS"/>
          <w:sz w:val="20"/>
          <w:szCs w:val="20"/>
          <w:bdr w:val="nil"/>
        </w:rPr>
        <w:t>to pay any accrued and unpaid interest thereon, as well as related premiums, fees and expenses</w:t>
      </w:r>
      <w:r w:rsidR="005732AA">
        <w:rPr>
          <w:rFonts w:ascii="Arial" w:eastAsia="Arial Unicode MS" w:hAnsi="Arial" w:cs="Arial Unicode MS"/>
          <w:sz w:val="20"/>
          <w:szCs w:val="20"/>
          <w:bdr w:val="nil"/>
        </w:rPr>
        <w:t>, in each case</w:t>
      </w:r>
      <w:r w:rsidRPr="00E21ED8">
        <w:rPr>
          <w:rFonts w:ascii="Arial" w:eastAsia="Arial Unicode MS" w:hAnsi="Arial" w:cs="Arial Unicode MS"/>
          <w:sz w:val="20"/>
          <w:szCs w:val="20"/>
          <w:bdr w:val="nil"/>
        </w:rPr>
        <w:t>.</w:t>
      </w:r>
      <w:proofErr w:type="gramEnd"/>
      <w:r w:rsidRPr="00E21ED8">
        <w:rPr>
          <w:rFonts w:ascii="Arial" w:eastAsia="Arial Unicode MS" w:hAnsi="Arial" w:cs="Arial Unicode MS"/>
          <w:sz w:val="20"/>
          <w:szCs w:val="20"/>
          <w:bdr w:val="nil"/>
        </w:rPr>
        <w:t xml:space="preserve"> In addition, in connection with these transactions, certain collateral was released, and debt maturities were extended.</w:t>
      </w:r>
    </w:p>
    <w:p w14:paraId="7E4CD91E" w14:textId="59943C55" w:rsidR="00762CBF" w:rsidRPr="00562BE3" w:rsidRDefault="00762CBF" w:rsidP="00762CBF">
      <w:pPr>
        <w:pStyle w:val="Sinespaciado"/>
        <w:spacing w:line="360" w:lineRule="auto"/>
        <w:ind w:left="360"/>
        <w:rPr>
          <w:rFonts w:ascii="Arial" w:eastAsia="Arial Unicode MS" w:hAnsi="Arial" w:cs="Arial Unicode MS"/>
          <w:color w:val="000000"/>
          <w:sz w:val="20"/>
          <w:szCs w:val="20"/>
          <w:bdr w:val="nil"/>
        </w:rPr>
      </w:pPr>
      <w:r w:rsidRPr="00562BE3">
        <w:rPr>
          <w:rFonts w:ascii="Arial" w:hAnsi="Arial" w:cs="Arial"/>
          <w:sz w:val="20"/>
          <w:szCs w:val="20"/>
        </w:rPr>
        <w:t xml:space="preserve">The </w:t>
      </w:r>
      <w:r w:rsidR="00196E78">
        <w:rPr>
          <w:rFonts w:ascii="Arial" w:hAnsi="Arial" w:cs="Arial"/>
          <w:sz w:val="20"/>
          <w:szCs w:val="20"/>
        </w:rPr>
        <w:t xml:space="preserve">combined benefit of the </w:t>
      </w:r>
      <w:r w:rsidRPr="00562BE3">
        <w:rPr>
          <w:rFonts w:ascii="Arial" w:hAnsi="Arial" w:cs="Arial"/>
          <w:sz w:val="20"/>
          <w:szCs w:val="20"/>
        </w:rPr>
        <w:t xml:space="preserve">above </w:t>
      </w:r>
      <w:r w:rsidR="00562BE3">
        <w:rPr>
          <w:rFonts w:ascii="Arial" w:hAnsi="Arial" w:cs="Arial"/>
          <w:sz w:val="20"/>
          <w:szCs w:val="20"/>
        </w:rPr>
        <w:t>transactions</w:t>
      </w:r>
      <w:r w:rsidRPr="00562BE3">
        <w:rPr>
          <w:rFonts w:ascii="Arial" w:hAnsi="Arial" w:cs="Arial"/>
          <w:sz w:val="20"/>
          <w:szCs w:val="20"/>
        </w:rPr>
        <w:t xml:space="preserve"> </w:t>
      </w:r>
      <w:r w:rsidR="00833CA6">
        <w:rPr>
          <w:rFonts w:ascii="Arial" w:hAnsi="Arial" w:cs="Arial"/>
          <w:sz w:val="20"/>
          <w:szCs w:val="20"/>
        </w:rPr>
        <w:t>is expected to result</w:t>
      </w:r>
      <w:r w:rsidR="00833CA6" w:rsidRPr="00562BE3">
        <w:rPr>
          <w:rFonts w:ascii="Arial" w:hAnsi="Arial" w:cs="Arial"/>
          <w:sz w:val="20"/>
          <w:szCs w:val="20"/>
        </w:rPr>
        <w:t xml:space="preserve"> </w:t>
      </w:r>
      <w:r w:rsidRPr="00562BE3">
        <w:rPr>
          <w:rFonts w:ascii="Arial" w:hAnsi="Arial" w:cs="Arial"/>
          <w:sz w:val="20"/>
          <w:szCs w:val="20"/>
        </w:rPr>
        <w:t>in annual cash interest expense savings of approximately $75 mil</w:t>
      </w:r>
      <w:r w:rsidR="00562BE3" w:rsidRPr="00562BE3">
        <w:rPr>
          <w:rFonts w:ascii="Arial" w:hAnsi="Arial" w:cs="Arial"/>
          <w:sz w:val="20"/>
          <w:szCs w:val="20"/>
        </w:rPr>
        <w:t>l</w:t>
      </w:r>
      <w:r w:rsidRPr="00562BE3">
        <w:rPr>
          <w:rFonts w:ascii="Arial" w:hAnsi="Arial" w:cs="Arial"/>
          <w:sz w:val="20"/>
          <w:szCs w:val="20"/>
        </w:rPr>
        <w:t>ion</w:t>
      </w:r>
      <w:r w:rsidR="0023453F">
        <w:rPr>
          <w:rFonts w:ascii="Arial" w:hAnsi="Arial" w:cs="Arial"/>
          <w:sz w:val="20"/>
          <w:szCs w:val="20"/>
        </w:rPr>
        <w:t>, as well as the other benefits mentioned above</w:t>
      </w:r>
      <w:r w:rsidR="00196E78">
        <w:rPr>
          <w:rFonts w:ascii="Arial" w:hAnsi="Arial" w:cs="Arial"/>
          <w:sz w:val="20"/>
          <w:szCs w:val="20"/>
        </w:rPr>
        <w:t>.</w:t>
      </w:r>
    </w:p>
    <w:p w14:paraId="28B415ED" w14:textId="5932B771" w:rsidR="00A67B5E" w:rsidRPr="00DF433C" w:rsidRDefault="00A67B5E" w:rsidP="00762CBF">
      <w:pPr>
        <w:pStyle w:val="Sinespaciado"/>
        <w:spacing w:line="360" w:lineRule="auto"/>
        <w:jc w:val="both"/>
        <w:rPr>
          <w:rFonts w:ascii="Arial" w:eastAsia="Arial Unicode MS" w:hAnsi="Arial" w:cs="Arial Unicode MS"/>
          <w:color w:val="FF0000"/>
          <w:sz w:val="20"/>
          <w:szCs w:val="20"/>
          <w:highlight w:val="yellow"/>
          <w:bdr w:val="nil"/>
        </w:rPr>
      </w:pPr>
    </w:p>
    <w:p w14:paraId="2BB39F51" w14:textId="3BCA17E2" w:rsidR="00C06DCE" w:rsidRPr="001B7293" w:rsidRDefault="007F3122" w:rsidP="00C41E93">
      <w:pPr>
        <w:pStyle w:val="Sinespaciado"/>
        <w:spacing w:line="360" w:lineRule="auto"/>
        <w:jc w:val="both"/>
        <w:rPr>
          <w:rFonts w:ascii="Arial" w:eastAsia="Arial Unicode MS" w:hAnsi="Arial" w:cs="Arial Unicode MS"/>
          <w:sz w:val="20"/>
          <w:szCs w:val="20"/>
          <w:bdr w:val="nil"/>
        </w:rPr>
      </w:pPr>
      <w:bookmarkStart w:id="5" w:name="_Hlk63421980"/>
      <w:bookmarkStart w:id="6" w:name="_Hlk54875425"/>
      <w:bookmarkStart w:id="7" w:name="_Hlk55310185"/>
      <w:bookmarkStart w:id="8" w:name="_Hlk47366794"/>
      <w:r w:rsidRPr="001B7293">
        <w:rPr>
          <w:rFonts w:ascii="Arial" w:eastAsia="Arial Unicode MS" w:hAnsi="Arial" w:cs="Arial Unicode MS"/>
          <w:sz w:val="20"/>
          <w:szCs w:val="20"/>
          <w:bdr w:val="nil"/>
        </w:rPr>
        <w:t xml:space="preserve">The Company's monthly average cash burn for the </w:t>
      </w:r>
      <w:r w:rsidR="0020114E" w:rsidRPr="001B7293">
        <w:rPr>
          <w:rFonts w:ascii="Arial" w:eastAsia="Arial Unicode MS" w:hAnsi="Arial" w:cs="Arial Unicode MS"/>
          <w:sz w:val="20"/>
          <w:szCs w:val="20"/>
          <w:bdr w:val="nil"/>
        </w:rPr>
        <w:t xml:space="preserve">fourth </w:t>
      </w:r>
      <w:r w:rsidRPr="001B7293">
        <w:rPr>
          <w:rFonts w:ascii="Arial" w:eastAsia="Arial Unicode MS" w:hAnsi="Arial" w:cs="Arial Unicode MS"/>
          <w:sz w:val="20"/>
          <w:szCs w:val="20"/>
          <w:bdr w:val="nil"/>
        </w:rPr>
        <w:t xml:space="preserve">quarter </w:t>
      </w:r>
      <w:r w:rsidR="00B02F8D">
        <w:rPr>
          <w:rFonts w:ascii="Arial" w:eastAsia="Arial Unicode MS" w:hAnsi="Arial" w:cs="Arial Unicode MS"/>
          <w:sz w:val="20"/>
          <w:szCs w:val="20"/>
          <w:bdr w:val="nil"/>
        </w:rPr>
        <w:t xml:space="preserve">of </w:t>
      </w:r>
      <w:r w:rsidRPr="001B7293">
        <w:rPr>
          <w:rFonts w:ascii="Arial" w:eastAsia="Arial Unicode MS" w:hAnsi="Arial" w:cs="Arial Unicode MS"/>
          <w:sz w:val="20"/>
          <w:szCs w:val="20"/>
          <w:bdr w:val="nil"/>
        </w:rPr>
        <w:t>202</w:t>
      </w:r>
      <w:r w:rsidR="002208BD" w:rsidRPr="001B7293">
        <w:rPr>
          <w:rFonts w:ascii="Arial" w:eastAsia="Arial Unicode MS" w:hAnsi="Arial" w:cs="Arial Unicode MS"/>
          <w:sz w:val="20"/>
          <w:szCs w:val="20"/>
          <w:bdr w:val="nil"/>
        </w:rPr>
        <w:t>1</w:t>
      </w:r>
      <w:r w:rsidRPr="001B7293">
        <w:rPr>
          <w:rFonts w:ascii="Arial" w:eastAsia="Arial Unicode MS" w:hAnsi="Arial" w:cs="Arial Unicode MS"/>
          <w:sz w:val="20"/>
          <w:szCs w:val="20"/>
          <w:bdr w:val="nil"/>
        </w:rPr>
        <w:t xml:space="preserve"> was </w:t>
      </w:r>
      <w:r w:rsidR="00BB367D" w:rsidRPr="001B7293">
        <w:rPr>
          <w:rFonts w:ascii="Arial" w:eastAsia="Arial Unicode MS" w:hAnsi="Arial" w:cs="Arial Unicode MS"/>
          <w:sz w:val="20"/>
          <w:szCs w:val="20"/>
          <w:bdr w:val="nil"/>
        </w:rPr>
        <w:t>approximately $</w:t>
      </w:r>
      <w:r w:rsidR="00E45CE7" w:rsidRPr="001B7293">
        <w:rPr>
          <w:rFonts w:ascii="Arial" w:eastAsia="Arial Unicode MS" w:hAnsi="Arial" w:cs="Arial Unicode MS"/>
          <w:sz w:val="20"/>
          <w:szCs w:val="20"/>
          <w:bdr w:val="nil"/>
        </w:rPr>
        <w:t>345</w:t>
      </w:r>
      <w:r w:rsidR="00BB367D" w:rsidRPr="001B7293">
        <w:rPr>
          <w:rFonts w:ascii="Arial" w:eastAsia="Arial Unicode MS" w:hAnsi="Arial" w:cs="Arial Unicode MS"/>
          <w:sz w:val="20"/>
          <w:szCs w:val="20"/>
          <w:bdr w:val="nil"/>
        </w:rPr>
        <w:t xml:space="preserve"> million, </w:t>
      </w:r>
      <w:r w:rsidR="00E45CE7" w:rsidRPr="001B7293">
        <w:rPr>
          <w:rFonts w:ascii="Arial" w:eastAsia="Arial Unicode MS" w:hAnsi="Arial" w:cs="Arial Unicode MS"/>
          <w:sz w:val="20"/>
          <w:szCs w:val="20"/>
          <w:bdr w:val="nil"/>
        </w:rPr>
        <w:t xml:space="preserve">slightly </w:t>
      </w:r>
      <w:r w:rsidR="003621D4" w:rsidRPr="001B7293">
        <w:rPr>
          <w:rFonts w:ascii="Arial" w:eastAsia="Arial Unicode MS" w:hAnsi="Arial" w:cs="Arial Unicode MS"/>
          <w:sz w:val="20"/>
          <w:szCs w:val="20"/>
          <w:bdr w:val="nil"/>
        </w:rPr>
        <w:t>below</w:t>
      </w:r>
      <w:r w:rsidR="002208BD" w:rsidRPr="001B7293">
        <w:rPr>
          <w:rFonts w:ascii="Arial" w:eastAsia="Arial Unicode MS" w:hAnsi="Arial" w:cs="Arial Unicode MS"/>
          <w:sz w:val="20"/>
          <w:szCs w:val="20"/>
          <w:bdr w:val="nil"/>
        </w:rPr>
        <w:t xml:space="preserve"> </w:t>
      </w:r>
      <w:r w:rsidR="005732AA">
        <w:rPr>
          <w:rFonts w:ascii="Arial" w:eastAsia="Arial Unicode MS" w:hAnsi="Arial" w:cs="Arial Unicode MS"/>
          <w:sz w:val="20"/>
          <w:szCs w:val="20"/>
          <w:bdr w:val="nil"/>
        </w:rPr>
        <w:t xml:space="preserve">the </w:t>
      </w:r>
      <w:r w:rsidR="002208BD" w:rsidRPr="001B7293">
        <w:rPr>
          <w:rFonts w:ascii="Arial" w:eastAsia="Arial Unicode MS" w:hAnsi="Arial" w:cs="Arial Unicode MS"/>
          <w:sz w:val="20"/>
          <w:szCs w:val="20"/>
          <w:bdr w:val="nil"/>
        </w:rPr>
        <w:t xml:space="preserve">prior </w:t>
      </w:r>
      <w:r w:rsidR="00E45CE7" w:rsidRPr="001B7293">
        <w:rPr>
          <w:rFonts w:ascii="Arial" w:eastAsia="Arial Unicode MS" w:hAnsi="Arial" w:cs="Arial Unicode MS"/>
          <w:sz w:val="20"/>
          <w:szCs w:val="20"/>
          <w:bdr w:val="nil"/>
        </w:rPr>
        <w:t>estimate</w:t>
      </w:r>
      <w:r w:rsidR="002208BD" w:rsidRPr="001B7293">
        <w:rPr>
          <w:rFonts w:ascii="Arial" w:eastAsia="Arial Unicode MS" w:hAnsi="Arial" w:cs="Arial Unicode MS"/>
          <w:sz w:val="20"/>
          <w:szCs w:val="20"/>
          <w:bdr w:val="nil"/>
        </w:rPr>
        <w:t xml:space="preserve"> </w:t>
      </w:r>
      <w:r w:rsidR="00BB367D" w:rsidRPr="001B7293">
        <w:rPr>
          <w:rFonts w:ascii="Arial" w:eastAsia="Arial Unicode MS" w:hAnsi="Arial" w:cs="Arial Unicode MS"/>
          <w:sz w:val="20"/>
          <w:szCs w:val="20"/>
          <w:bdr w:val="nil"/>
        </w:rPr>
        <w:t>of</w:t>
      </w:r>
      <w:r w:rsidR="002208BD" w:rsidRPr="001B7293">
        <w:rPr>
          <w:rFonts w:ascii="Arial" w:eastAsia="Arial Unicode MS" w:hAnsi="Arial" w:cs="Arial Unicode MS"/>
          <w:sz w:val="20"/>
          <w:szCs w:val="20"/>
          <w:bdr w:val="nil"/>
        </w:rPr>
        <w:t xml:space="preserve"> </w:t>
      </w:r>
      <w:r w:rsidRPr="001B7293">
        <w:rPr>
          <w:rFonts w:ascii="Arial" w:eastAsia="Arial Unicode MS" w:hAnsi="Arial" w:cs="Arial Unicode MS"/>
          <w:sz w:val="20"/>
          <w:szCs w:val="20"/>
          <w:bdr w:val="nil"/>
        </w:rPr>
        <w:t>approximately $</w:t>
      </w:r>
      <w:r w:rsidR="0020114E" w:rsidRPr="001B7293">
        <w:rPr>
          <w:rFonts w:ascii="Arial" w:eastAsia="Arial Unicode MS" w:hAnsi="Arial" w:cs="Arial Unicode MS"/>
          <w:sz w:val="20"/>
          <w:szCs w:val="20"/>
          <w:bdr w:val="nil"/>
        </w:rPr>
        <w:t>350</w:t>
      </w:r>
      <w:r w:rsidRPr="001B7293">
        <w:rPr>
          <w:rFonts w:ascii="Arial" w:eastAsia="Arial Unicode MS" w:hAnsi="Arial" w:cs="Arial Unicode MS"/>
          <w:sz w:val="20"/>
          <w:szCs w:val="20"/>
          <w:bdr w:val="nil"/>
        </w:rPr>
        <w:t xml:space="preserve"> million</w:t>
      </w:r>
      <w:bookmarkStart w:id="9" w:name="_Hlk64639279"/>
      <w:bookmarkStart w:id="10" w:name="_Hlk63422099"/>
      <w:bookmarkEnd w:id="5"/>
      <w:r w:rsidR="00877EAC" w:rsidRPr="001B7293">
        <w:rPr>
          <w:rFonts w:ascii="Arial" w:eastAsia="Arial Unicode MS" w:hAnsi="Arial" w:cs="Arial Unicode MS"/>
          <w:sz w:val="20"/>
          <w:szCs w:val="20"/>
          <w:bdr w:val="nil"/>
        </w:rPr>
        <w:t>.</w:t>
      </w:r>
      <w:r w:rsidR="008C7ECC" w:rsidRPr="001B7293">
        <w:rPr>
          <w:rFonts w:ascii="Arial" w:eastAsia="Arial Unicode MS" w:hAnsi="Arial" w:cs="Arial Unicode MS"/>
          <w:sz w:val="20"/>
          <w:szCs w:val="20"/>
          <w:bdr w:val="nil"/>
        </w:rPr>
        <w:t xml:space="preserve"> </w:t>
      </w:r>
      <w:r w:rsidR="00A61CA0" w:rsidRPr="00646E2A">
        <w:rPr>
          <w:rFonts w:ascii="Arial" w:eastAsia="Arial Unicode MS" w:hAnsi="Arial" w:cs="Arial Unicode MS"/>
          <w:color w:val="000000"/>
          <w:sz w:val="20"/>
          <w:szCs w:val="20"/>
          <w:bdr w:val="nil"/>
        </w:rPr>
        <w:t xml:space="preserve">Looking ahead, the Company expects </w:t>
      </w:r>
      <w:r w:rsidR="00A61CA0">
        <w:rPr>
          <w:rFonts w:ascii="Arial" w:eastAsia="Arial Unicode MS" w:hAnsi="Arial" w:cs="Arial Unicode MS"/>
          <w:color w:val="000000"/>
          <w:sz w:val="20"/>
          <w:szCs w:val="20"/>
          <w:bdr w:val="nil"/>
        </w:rPr>
        <w:t>first</w:t>
      </w:r>
      <w:r w:rsidR="00A61CA0" w:rsidRPr="00646E2A">
        <w:rPr>
          <w:rFonts w:ascii="Arial" w:eastAsia="Arial Unicode MS" w:hAnsi="Arial" w:cs="Arial Unicode MS"/>
          <w:color w:val="000000"/>
          <w:sz w:val="20"/>
          <w:szCs w:val="20"/>
          <w:bdr w:val="nil"/>
        </w:rPr>
        <w:t xml:space="preserve"> quarter 202</w:t>
      </w:r>
      <w:r w:rsidR="00A61CA0">
        <w:rPr>
          <w:rFonts w:ascii="Arial" w:eastAsia="Arial Unicode MS" w:hAnsi="Arial" w:cs="Arial Unicode MS"/>
          <w:color w:val="000000"/>
          <w:sz w:val="20"/>
          <w:szCs w:val="20"/>
          <w:bdr w:val="nil"/>
        </w:rPr>
        <w:t>2</w:t>
      </w:r>
      <w:r w:rsidR="00A61CA0" w:rsidRPr="00646E2A">
        <w:rPr>
          <w:rFonts w:ascii="Arial" w:eastAsia="Arial Unicode MS" w:hAnsi="Arial" w:cs="Arial Unicode MS"/>
          <w:color w:val="000000"/>
          <w:sz w:val="20"/>
          <w:szCs w:val="20"/>
          <w:bdr w:val="nil"/>
        </w:rPr>
        <w:t xml:space="preserve"> monthly average cash burn to increase to approximately </w:t>
      </w:r>
      <w:r w:rsidR="00524438" w:rsidRPr="00646E2A">
        <w:rPr>
          <w:rFonts w:ascii="Arial" w:eastAsia="Arial Unicode MS" w:hAnsi="Arial" w:cs="Arial Unicode MS"/>
          <w:color w:val="000000"/>
          <w:sz w:val="20"/>
          <w:szCs w:val="20"/>
          <w:bdr w:val="nil"/>
        </w:rPr>
        <w:t>$</w:t>
      </w:r>
      <w:r w:rsidR="00524438" w:rsidRPr="003228F2">
        <w:rPr>
          <w:rFonts w:ascii="Arial" w:eastAsia="Arial Unicode MS" w:hAnsi="Arial" w:cs="Arial Unicode MS"/>
          <w:color w:val="000000"/>
          <w:sz w:val="20"/>
          <w:szCs w:val="20"/>
          <w:bdr w:val="nil"/>
        </w:rPr>
        <w:t>390</w:t>
      </w:r>
      <w:r w:rsidR="00A61CA0" w:rsidRPr="00646E2A">
        <w:rPr>
          <w:rFonts w:ascii="Arial" w:eastAsia="Arial Unicode MS" w:hAnsi="Arial" w:cs="Arial Unicode MS"/>
          <w:color w:val="000000"/>
          <w:sz w:val="20"/>
          <w:szCs w:val="20"/>
          <w:bdr w:val="nil"/>
        </w:rPr>
        <w:t xml:space="preserve"> million driven by the continued phased relaunch of additional vessels.</w:t>
      </w:r>
      <w:r w:rsidR="00A61CA0">
        <w:rPr>
          <w:rFonts w:ascii="Arial" w:eastAsia="Arial Unicode MS" w:hAnsi="Arial" w:cs="Arial Unicode MS"/>
          <w:color w:val="000000"/>
          <w:sz w:val="20"/>
          <w:szCs w:val="20"/>
          <w:bdr w:val="nil"/>
        </w:rPr>
        <w:t xml:space="preserve"> </w:t>
      </w:r>
      <w:r w:rsidR="005C13CB" w:rsidRPr="001B7293">
        <w:rPr>
          <w:rFonts w:ascii="Arial" w:eastAsia="Arial Unicode MS" w:hAnsi="Arial" w:cs="Arial Unicode MS"/>
          <w:sz w:val="20"/>
          <w:szCs w:val="20"/>
          <w:bdr w:val="nil"/>
        </w:rPr>
        <w:t xml:space="preserve">This cash burn rate does not include </w:t>
      </w:r>
      <w:r w:rsidR="005907A8" w:rsidRPr="001B7293">
        <w:rPr>
          <w:rFonts w:ascii="Arial" w:eastAsia="Arial Unicode MS" w:hAnsi="Arial" w:cs="Arial Unicode MS"/>
          <w:sz w:val="20"/>
          <w:szCs w:val="20"/>
          <w:bdr w:val="nil"/>
        </w:rPr>
        <w:t xml:space="preserve">expected </w:t>
      </w:r>
      <w:r w:rsidR="005C13CB" w:rsidRPr="001B7293">
        <w:rPr>
          <w:rFonts w:ascii="Arial" w:eastAsia="Arial Unicode MS" w:hAnsi="Arial" w:cs="Arial Unicode MS"/>
          <w:sz w:val="20"/>
          <w:szCs w:val="20"/>
          <w:bdr w:val="nil"/>
        </w:rPr>
        <w:t>cash inflows</w:t>
      </w:r>
      <w:r w:rsidR="005907A8" w:rsidRPr="001B7293">
        <w:rPr>
          <w:rFonts w:ascii="Arial" w:eastAsia="Arial Unicode MS" w:hAnsi="Arial" w:cs="Arial Unicode MS"/>
          <w:sz w:val="20"/>
          <w:szCs w:val="20"/>
          <w:bdr w:val="nil"/>
        </w:rPr>
        <w:t xml:space="preserve"> from new and existing bookings</w:t>
      </w:r>
      <w:r w:rsidR="003621D4" w:rsidRPr="001B7293">
        <w:rPr>
          <w:rFonts w:ascii="Arial" w:eastAsia="Arial Unicode MS" w:hAnsi="Arial" w:cs="Arial Unicode MS"/>
          <w:sz w:val="20"/>
          <w:szCs w:val="20"/>
          <w:bdr w:val="nil"/>
        </w:rPr>
        <w:t xml:space="preserve"> or contribution </w:t>
      </w:r>
      <w:r w:rsidR="00632F6D" w:rsidRPr="001B7293">
        <w:rPr>
          <w:rFonts w:ascii="Arial" w:eastAsia="Arial Unicode MS" w:hAnsi="Arial" w:cs="Arial Unicode MS"/>
          <w:sz w:val="20"/>
          <w:szCs w:val="20"/>
          <w:bdr w:val="nil"/>
        </w:rPr>
        <w:t>from ships that have re-entered service</w:t>
      </w:r>
      <w:r w:rsidR="005907A8" w:rsidRPr="001B7293">
        <w:rPr>
          <w:rFonts w:ascii="Arial" w:eastAsia="Arial Unicode MS" w:hAnsi="Arial" w:cs="Arial Unicode MS"/>
          <w:sz w:val="20"/>
          <w:szCs w:val="20"/>
          <w:bdr w:val="nil"/>
        </w:rPr>
        <w:t>.</w:t>
      </w:r>
      <w:r w:rsidR="00632F6D" w:rsidRPr="001B7293">
        <w:rPr>
          <w:rFonts w:ascii="Arial" w:eastAsia="Arial Unicode MS" w:hAnsi="Arial" w:cs="Arial Unicode MS"/>
          <w:sz w:val="20"/>
          <w:szCs w:val="20"/>
          <w:bdr w:val="nil"/>
        </w:rPr>
        <w:t xml:space="preserve"> </w:t>
      </w:r>
      <w:r w:rsidR="005C13CB" w:rsidRPr="001B7293">
        <w:rPr>
          <w:rFonts w:ascii="Arial" w:eastAsia="Arial Unicode MS" w:hAnsi="Arial" w:cs="Arial Unicode MS"/>
          <w:sz w:val="20"/>
          <w:szCs w:val="20"/>
          <w:bdr w:val="nil"/>
        </w:rPr>
        <w:t xml:space="preserve"> </w:t>
      </w:r>
      <w:bookmarkStart w:id="11" w:name="_Hlk64639290"/>
      <w:bookmarkEnd w:id="9"/>
    </w:p>
    <w:p w14:paraId="0CB321F8" w14:textId="6022538B" w:rsidR="00A53D2E" w:rsidRPr="001B7293" w:rsidRDefault="005177C0" w:rsidP="007F4D0C">
      <w:pPr>
        <w:pStyle w:val="Sinespaciado"/>
        <w:tabs>
          <w:tab w:val="left" w:pos="1000"/>
        </w:tabs>
        <w:spacing w:line="360" w:lineRule="auto"/>
        <w:jc w:val="both"/>
        <w:rPr>
          <w:rFonts w:ascii="Arial" w:eastAsia="Arial Unicode MS" w:hAnsi="Arial" w:cs="Arial Unicode MS"/>
          <w:sz w:val="20"/>
          <w:szCs w:val="20"/>
          <w:bdr w:val="nil"/>
        </w:rPr>
      </w:pPr>
      <w:r w:rsidRPr="001B7293">
        <w:rPr>
          <w:rFonts w:ascii="Arial" w:eastAsia="Arial Unicode MS" w:hAnsi="Arial" w:cs="Arial Unicode MS"/>
          <w:sz w:val="20"/>
          <w:szCs w:val="20"/>
          <w:bdr w:val="nil"/>
        </w:rPr>
        <w:t>C</w:t>
      </w:r>
      <w:r w:rsidR="00C06DCE" w:rsidRPr="001B7293">
        <w:rPr>
          <w:rFonts w:ascii="Arial" w:eastAsia="Arial Unicode MS" w:hAnsi="Arial" w:cs="Arial Unicode MS"/>
          <w:sz w:val="20"/>
          <w:szCs w:val="20"/>
          <w:bdr w:val="nil"/>
        </w:rPr>
        <w:t>ash burn rate</w:t>
      </w:r>
      <w:r w:rsidR="00634B8F">
        <w:rPr>
          <w:rFonts w:ascii="Arial" w:eastAsia="Arial Unicode MS" w:hAnsi="Arial" w:cs="Arial Unicode MS"/>
          <w:sz w:val="20"/>
          <w:szCs w:val="20"/>
          <w:bdr w:val="nil"/>
        </w:rPr>
        <w:t>s</w:t>
      </w:r>
      <w:r w:rsidR="00C06DCE" w:rsidRPr="001B7293">
        <w:rPr>
          <w:rFonts w:ascii="Arial" w:eastAsia="Arial Unicode MS" w:hAnsi="Arial" w:cs="Arial Unicode MS"/>
          <w:sz w:val="20"/>
          <w:szCs w:val="20"/>
          <w:bdr w:val="nil"/>
        </w:rPr>
        <w:t xml:space="preserve"> include ongoing ship operating expenses, administrative operating expenses, interest expense, taxes</w:t>
      </w:r>
      <w:r w:rsidR="009B4BAE" w:rsidRPr="001B7293">
        <w:rPr>
          <w:rFonts w:ascii="Arial" w:eastAsia="Arial Unicode MS" w:hAnsi="Arial" w:cs="Arial Unicode MS"/>
          <w:sz w:val="20"/>
          <w:szCs w:val="20"/>
          <w:bdr w:val="nil"/>
        </w:rPr>
        <w:t>, debt deferral fees</w:t>
      </w:r>
      <w:r w:rsidR="00C06DCE" w:rsidRPr="001B7293">
        <w:rPr>
          <w:rFonts w:ascii="Arial" w:eastAsia="Arial Unicode MS" w:hAnsi="Arial" w:cs="Arial Unicode MS"/>
          <w:sz w:val="20"/>
          <w:szCs w:val="20"/>
          <w:bdr w:val="nil"/>
        </w:rPr>
        <w:t xml:space="preserve"> and </w:t>
      </w:r>
      <w:r w:rsidR="00634B8F">
        <w:rPr>
          <w:rFonts w:ascii="Arial" w:eastAsia="Arial Unicode MS" w:hAnsi="Arial" w:cs="Arial Unicode MS"/>
          <w:sz w:val="20"/>
          <w:szCs w:val="20"/>
          <w:bdr w:val="nil"/>
        </w:rPr>
        <w:t xml:space="preserve">expected </w:t>
      </w:r>
      <w:r w:rsidR="0040313E" w:rsidRPr="001B7293">
        <w:rPr>
          <w:rFonts w:ascii="Arial" w:eastAsia="Arial Unicode MS" w:hAnsi="Arial" w:cs="Arial Unicode MS"/>
          <w:sz w:val="20"/>
          <w:szCs w:val="20"/>
          <w:bdr w:val="nil"/>
        </w:rPr>
        <w:t>non-</w:t>
      </w:r>
      <w:proofErr w:type="spellStart"/>
      <w:r w:rsidR="0040313E" w:rsidRPr="001B7293">
        <w:rPr>
          <w:rFonts w:ascii="Arial" w:eastAsia="Arial Unicode MS" w:hAnsi="Arial" w:cs="Arial Unicode MS"/>
          <w:sz w:val="20"/>
          <w:szCs w:val="20"/>
          <w:bdr w:val="nil"/>
        </w:rPr>
        <w:t>newbuild</w:t>
      </w:r>
      <w:proofErr w:type="spellEnd"/>
      <w:r w:rsidR="0040313E" w:rsidRPr="001B7293">
        <w:rPr>
          <w:rFonts w:ascii="Arial" w:eastAsia="Arial Unicode MS" w:hAnsi="Arial" w:cs="Arial Unicode MS"/>
          <w:sz w:val="20"/>
          <w:szCs w:val="20"/>
          <w:bdr w:val="nil"/>
        </w:rPr>
        <w:t xml:space="preserve"> </w:t>
      </w:r>
      <w:r w:rsidR="00C06DCE" w:rsidRPr="001B7293">
        <w:rPr>
          <w:rFonts w:ascii="Arial" w:eastAsia="Arial Unicode MS" w:hAnsi="Arial" w:cs="Arial Unicode MS"/>
          <w:sz w:val="20"/>
          <w:szCs w:val="20"/>
          <w:bdr w:val="nil"/>
        </w:rPr>
        <w:t>capital expenditures and exclude</w:t>
      </w:r>
      <w:r w:rsidR="005732AA">
        <w:rPr>
          <w:rFonts w:ascii="Arial" w:eastAsia="Arial Unicode MS" w:hAnsi="Arial" w:cs="Arial Unicode MS"/>
          <w:sz w:val="20"/>
          <w:szCs w:val="20"/>
          <w:bdr w:val="nil"/>
        </w:rPr>
        <w:t>s</w:t>
      </w:r>
      <w:r w:rsidR="00C06DCE" w:rsidRPr="001B7293">
        <w:rPr>
          <w:rFonts w:ascii="Arial" w:eastAsia="Arial Unicode MS" w:hAnsi="Arial" w:cs="Arial Unicode MS"/>
          <w:sz w:val="20"/>
          <w:szCs w:val="20"/>
          <w:bdr w:val="nil"/>
        </w:rPr>
        <w:t xml:space="preserve"> cash refunds of customer deposits as well as cash inflows from new and existing bookings</w:t>
      </w:r>
      <w:r w:rsidR="000E6A78" w:rsidRPr="001B7293">
        <w:rPr>
          <w:rFonts w:ascii="Arial" w:eastAsia="Arial Unicode MS" w:hAnsi="Arial" w:cs="Arial Unicode MS"/>
          <w:sz w:val="20"/>
          <w:szCs w:val="20"/>
          <w:bdr w:val="nil"/>
        </w:rPr>
        <w:t xml:space="preserve">, </w:t>
      </w:r>
      <w:proofErr w:type="spellStart"/>
      <w:r w:rsidR="000E6A78" w:rsidRPr="001B7293">
        <w:rPr>
          <w:rFonts w:ascii="Arial" w:eastAsia="Arial Unicode MS" w:hAnsi="Arial" w:cs="Arial Unicode MS"/>
          <w:sz w:val="20"/>
          <w:szCs w:val="20"/>
          <w:bdr w:val="nil"/>
        </w:rPr>
        <w:t>newbuild</w:t>
      </w:r>
      <w:proofErr w:type="spellEnd"/>
      <w:r w:rsidR="000E6A78" w:rsidRPr="001B7293">
        <w:rPr>
          <w:rFonts w:ascii="Arial" w:eastAsia="Arial Unicode MS" w:hAnsi="Arial" w:cs="Arial Unicode MS"/>
          <w:sz w:val="20"/>
          <w:szCs w:val="20"/>
          <w:bdr w:val="nil"/>
        </w:rPr>
        <w:t xml:space="preserve"> related capital expenditures</w:t>
      </w:r>
      <w:r w:rsidRPr="001B7293">
        <w:rPr>
          <w:rFonts w:ascii="Arial" w:eastAsia="Arial Unicode MS" w:hAnsi="Arial" w:cs="Arial Unicode MS"/>
          <w:sz w:val="20"/>
          <w:szCs w:val="20"/>
          <w:bdr w:val="nil"/>
        </w:rPr>
        <w:t xml:space="preserve"> and</w:t>
      </w:r>
      <w:r w:rsidR="00C06DCE" w:rsidRPr="001B7293">
        <w:rPr>
          <w:rFonts w:ascii="Arial" w:eastAsia="Arial Unicode MS" w:hAnsi="Arial" w:cs="Arial Unicode MS"/>
          <w:sz w:val="20"/>
          <w:szCs w:val="20"/>
          <w:bdr w:val="nil"/>
        </w:rPr>
        <w:t xml:space="preserve"> other working capital changes</w:t>
      </w:r>
      <w:r w:rsidRPr="001B7293">
        <w:rPr>
          <w:rFonts w:ascii="Arial" w:eastAsia="Arial Unicode MS" w:hAnsi="Arial" w:cs="Arial Unicode MS"/>
          <w:sz w:val="20"/>
          <w:szCs w:val="20"/>
          <w:bdr w:val="nil"/>
        </w:rPr>
        <w:t>.</w:t>
      </w:r>
      <w:r w:rsidR="0056522B" w:rsidRPr="001B7293">
        <w:rPr>
          <w:rFonts w:ascii="Arial" w:eastAsia="Arial Unicode MS" w:hAnsi="Arial" w:cs="Arial Unicode MS"/>
          <w:sz w:val="20"/>
          <w:szCs w:val="20"/>
          <w:bdr w:val="nil"/>
        </w:rPr>
        <w:t xml:space="preserve"> Future c</w:t>
      </w:r>
      <w:r w:rsidRPr="001B7293">
        <w:rPr>
          <w:rFonts w:ascii="Arial" w:eastAsia="Arial Unicode MS" w:hAnsi="Arial" w:cs="Arial Unicode MS"/>
          <w:sz w:val="20"/>
          <w:szCs w:val="20"/>
          <w:bdr w:val="nil"/>
        </w:rPr>
        <w:t>ash burn rate estimates also exclude</w:t>
      </w:r>
      <w:r w:rsidR="00C06DCE" w:rsidRPr="001B7293">
        <w:rPr>
          <w:rFonts w:ascii="Arial" w:eastAsia="Arial Unicode MS" w:hAnsi="Arial" w:cs="Arial Unicode MS"/>
          <w:sz w:val="20"/>
          <w:szCs w:val="20"/>
          <w:bdr w:val="nil"/>
        </w:rPr>
        <w:t xml:space="preserve"> unforeseen expenses. </w:t>
      </w:r>
      <w:r w:rsidR="00076CA6" w:rsidRPr="001B7293">
        <w:rPr>
          <w:rFonts w:ascii="Arial" w:eastAsia="Arial Unicode MS" w:hAnsi="Arial" w:cs="Arial Unicode MS"/>
          <w:sz w:val="20"/>
          <w:szCs w:val="20"/>
          <w:bdr w:val="nil"/>
        </w:rPr>
        <w:t xml:space="preserve">The </w:t>
      </w:r>
      <w:r w:rsidR="0020114E" w:rsidRPr="001B7293">
        <w:rPr>
          <w:rFonts w:ascii="Arial" w:eastAsia="Arial Unicode MS" w:hAnsi="Arial" w:cs="Arial Unicode MS"/>
          <w:sz w:val="20"/>
          <w:szCs w:val="20"/>
          <w:bdr w:val="nil"/>
        </w:rPr>
        <w:t xml:space="preserve">fourth </w:t>
      </w:r>
      <w:r w:rsidR="00076CA6" w:rsidRPr="001B7293">
        <w:rPr>
          <w:rFonts w:ascii="Arial" w:eastAsia="Arial Unicode MS" w:hAnsi="Arial" w:cs="Arial Unicode MS"/>
          <w:sz w:val="20"/>
          <w:szCs w:val="20"/>
          <w:bdr w:val="nil"/>
        </w:rPr>
        <w:t>quarter 202</w:t>
      </w:r>
      <w:r w:rsidR="0024006B" w:rsidRPr="001B7293">
        <w:rPr>
          <w:rFonts w:ascii="Arial" w:eastAsia="Arial Unicode MS" w:hAnsi="Arial" w:cs="Arial Unicode MS"/>
          <w:sz w:val="20"/>
          <w:szCs w:val="20"/>
          <w:bdr w:val="nil"/>
        </w:rPr>
        <w:t>1</w:t>
      </w:r>
      <w:r w:rsidR="00B0688F" w:rsidRPr="001B7293">
        <w:rPr>
          <w:rFonts w:ascii="Arial" w:eastAsia="Arial Unicode MS" w:hAnsi="Arial" w:cs="Arial Unicode MS"/>
          <w:sz w:val="20"/>
          <w:szCs w:val="20"/>
          <w:bdr w:val="nil"/>
        </w:rPr>
        <w:t xml:space="preserve"> cash burn rate</w:t>
      </w:r>
      <w:r w:rsidR="005907A8" w:rsidRPr="001B7293">
        <w:rPr>
          <w:rFonts w:ascii="Arial" w:eastAsia="Arial Unicode MS" w:hAnsi="Arial" w:cs="Arial Unicode MS"/>
          <w:sz w:val="20"/>
          <w:szCs w:val="20"/>
          <w:bdr w:val="nil"/>
        </w:rPr>
        <w:t xml:space="preserve"> </w:t>
      </w:r>
      <w:r w:rsidR="00A61CA0">
        <w:rPr>
          <w:rFonts w:ascii="Arial" w:eastAsia="Arial Unicode MS" w:hAnsi="Arial" w:cs="Arial Unicode MS"/>
          <w:sz w:val="20"/>
          <w:szCs w:val="20"/>
          <w:bdr w:val="nil"/>
        </w:rPr>
        <w:t xml:space="preserve">and first quarter 2022 estimate </w:t>
      </w:r>
      <w:r w:rsidR="00076CA6" w:rsidRPr="001B7293">
        <w:rPr>
          <w:rFonts w:ascii="Arial" w:eastAsia="Arial Unicode MS" w:hAnsi="Arial" w:cs="Arial Unicode MS"/>
          <w:sz w:val="20"/>
          <w:szCs w:val="20"/>
          <w:bdr w:val="nil"/>
        </w:rPr>
        <w:t xml:space="preserve">reflect the deferral of debt amortization and </w:t>
      </w:r>
      <w:r w:rsidR="00956796">
        <w:rPr>
          <w:rFonts w:ascii="Arial" w:eastAsia="Arial Unicode MS" w:hAnsi="Arial" w:cs="Arial Unicode MS"/>
          <w:sz w:val="20"/>
          <w:szCs w:val="20"/>
          <w:bdr w:val="nil"/>
        </w:rPr>
        <w:t xml:space="preserve">previously agreed to </w:t>
      </w:r>
      <w:proofErr w:type="spellStart"/>
      <w:r w:rsidR="00076CA6" w:rsidRPr="001B7293">
        <w:rPr>
          <w:rFonts w:ascii="Arial" w:eastAsia="Arial Unicode MS" w:hAnsi="Arial" w:cs="Arial Unicode MS"/>
          <w:sz w:val="20"/>
          <w:szCs w:val="20"/>
          <w:bdr w:val="nil"/>
        </w:rPr>
        <w:t>newbuild</w:t>
      </w:r>
      <w:proofErr w:type="spellEnd"/>
      <w:r w:rsidR="00076CA6" w:rsidRPr="001B7293">
        <w:rPr>
          <w:rFonts w:ascii="Arial" w:eastAsia="Arial Unicode MS" w:hAnsi="Arial" w:cs="Arial Unicode MS"/>
          <w:sz w:val="20"/>
          <w:szCs w:val="20"/>
          <w:bdr w:val="nil"/>
        </w:rPr>
        <w:t xml:space="preserve"> related payments.</w:t>
      </w:r>
    </w:p>
    <w:p w14:paraId="42A8D421" w14:textId="5682DC26" w:rsidR="007F4D0C" w:rsidRPr="001B7293" w:rsidRDefault="007F4D0C" w:rsidP="00383FA9">
      <w:pPr>
        <w:pStyle w:val="Sinespaciado"/>
        <w:spacing w:line="360" w:lineRule="auto"/>
        <w:jc w:val="both"/>
        <w:rPr>
          <w:rFonts w:ascii="Arial" w:eastAsia="Arial Unicode MS" w:hAnsi="Arial" w:cs="Arial Unicode MS"/>
          <w:sz w:val="20"/>
          <w:szCs w:val="20"/>
          <w:bdr w:val="nil"/>
        </w:rPr>
      </w:pPr>
      <w:bookmarkStart w:id="12" w:name="_Hlk54613151"/>
      <w:bookmarkEnd w:id="6"/>
      <w:bookmarkEnd w:id="7"/>
      <w:bookmarkEnd w:id="10"/>
      <w:bookmarkEnd w:id="11"/>
      <w:r w:rsidRPr="001B7293">
        <w:rPr>
          <w:rFonts w:ascii="Arial" w:eastAsia="Arial Unicode MS" w:hAnsi="Arial" w:cs="Arial Unicode MS"/>
          <w:sz w:val="20"/>
          <w:szCs w:val="20"/>
          <w:bdr w:val="nil"/>
        </w:rPr>
        <w:t>“</w:t>
      </w:r>
      <w:r w:rsidR="00D57B39" w:rsidRPr="001B7293">
        <w:rPr>
          <w:rFonts w:ascii="Arial" w:eastAsia="Arial Unicode MS" w:hAnsi="Arial" w:cs="Arial Unicode MS"/>
          <w:sz w:val="20"/>
          <w:szCs w:val="20"/>
          <w:bdr w:val="nil"/>
        </w:rPr>
        <w:t xml:space="preserve">Momentum continues </w:t>
      </w:r>
      <w:r w:rsidR="00196E78">
        <w:rPr>
          <w:rFonts w:ascii="Arial" w:eastAsia="Arial Unicode MS" w:hAnsi="Arial" w:cs="Arial Unicode MS"/>
          <w:sz w:val="20"/>
          <w:szCs w:val="20"/>
          <w:bdr w:val="nil"/>
        </w:rPr>
        <w:t>building</w:t>
      </w:r>
      <w:r w:rsidR="00D57B39" w:rsidRPr="001B7293">
        <w:rPr>
          <w:rFonts w:ascii="Arial" w:eastAsia="Arial Unicode MS" w:hAnsi="Arial" w:cs="Arial Unicode MS"/>
          <w:sz w:val="20"/>
          <w:szCs w:val="20"/>
          <w:bdr w:val="nil"/>
        </w:rPr>
        <w:t xml:space="preserve"> a</w:t>
      </w:r>
      <w:r w:rsidR="007D692E" w:rsidRPr="001B7293">
        <w:rPr>
          <w:rFonts w:ascii="Arial" w:eastAsia="Arial Unicode MS" w:hAnsi="Arial" w:cs="Arial Unicode MS"/>
          <w:sz w:val="20"/>
          <w:szCs w:val="20"/>
          <w:bdr w:val="nil"/>
        </w:rPr>
        <w:t>s we approach 85% of our capacity</w:t>
      </w:r>
      <w:r w:rsidR="00196E78">
        <w:rPr>
          <w:rFonts w:ascii="Arial" w:eastAsia="Arial Unicode MS" w:hAnsi="Arial" w:cs="Arial Unicode MS"/>
          <w:sz w:val="20"/>
          <w:szCs w:val="20"/>
          <w:bdr w:val="nil"/>
        </w:rPr>
        <w:t xml:space="preserve"> expected</w:t>
      </w:r>
      <w:r w:rsidR="007D692E" w:rsidRPr="001B7293">
        <w:rPr>
          <w:rFonts w:ascii="Arial" w:eastAsia="Arial Unicode MS" w:hAnsi="Arial" w:cs="Arial Unicode MS"/>
          <w:sz w:val="20"/>
          <w:szCs w:val="20"/>
          <w:bdr w:val="nil"/>
        </w:rPr>
        <w:t xml:space="preserve"> </w:t>
      </w:r>
      <w:r w:rsidR="00E43FD2">
        <w:rPr>
          <w:rFonts w:ascii="Arial" w:eastAsia="Arial Unicode MS" w:hAnsi="Arial" w:cs="Arial Unicode MS"/>
          <w:sz w:val="20"/>
          <w:szCs w:val="20"/>
          <w:bdr w:val="nil"/>
        </w:rPr>
        <w:t xml:space="preserve">to be </w:t>
      </w:r>
      <w:r w:rsidR="007D692E" w:rsidRPr="001B7293">
        <w:rPr>
          <w:rFonts w:ascii="Arial" w:eastAsia="Arial Unicode MS" w:hAnsi="Arial" w:cs="Arial Unicode MS"/>
          <w:sz w:val="20"/>
          <w:szCs w:val="20"/>
          <w:bdr w:val="nil"/>
        </w:rPr>
        <w:t xml:space="preserve">in operation at the end of </w:t>
      </w:r>
      <w:r w:rsidR="00C27C68">
        <w:rPr>
          <w:rFonts w:ascii="Arial" w:eastAsia="Arial Unicode MS" w:hAnsi="Arial" w:cs="Arial Unicode MS"/>
          <w:sz w:val="20"/>
          <w:szCs w:val="20"/>
          <w:bdr w:val="nil"/>
        </w:rPr>
        <w:t>the first quarter</w:t>
      </w:r>
      <w:r w:rsidR="00D57B39" w:rsidRPr="001B7293">
        <w:rPr>
          <w:rFonts w:ascii="Arial" w:eastAsia="Arial Unicode MS" w:hAnsi="Arial" w:cs="Arial Unicode MS"/>
          <w:sz w:val="20"/>
          <w:szCs w:val="20"/>
          <w:bdr w:val="nil"/>
        </w:rPr>
        <w:t xml:space="preserve">. We </w:t>
      </w:r>
      <w:r w:rsidR="00196E78">
        <w:rPr>
          <w:rFonts w:ascii="Arial" w:eastAsia="Arial Unicode MS" w:hAnsi="Arial" w:cs="Arial Unicode MS"/>
          <w:sz w:val="20"/>
          <w:szCs w:val="20"/>
          <w:bdr w:val="nil"/>
        </w:rPr>
        <w:t xml:space="preserve">are </w:t>
      </w:r>
      <w:r w:rsidR="00E43FD2">
        <w:rPr>
          <w:rFonts w:ascii="Arial" w:eastAsia="Arial Unicode MS" w:hAnsi="Arial" w:cs="Arial Unicode MS"/>
          <w:sz w:val="20"/>
          <w:szCs w:val="20"/>
          <w:bdr w:val="nil"/>
        </w:rPr>
        <w:t>keenly</w:t>
      </w:r>
      <w:r w:rsidR="00196E78">
        <w:rPr>
          <w:rFonts w:ascii="Arial" w:eastAsia="Arial Unicode MS" w:hAnsi="Arial" w:cs="Arial Unicode MS"/>
          <w:sz w:val="20"/>
          <w:szCs w:val="20"/>
          <w:bdr w:val="nil"/>
        </w:rPr>
        <w:t xml:space="preserve"> focused on </w:t>
      </w:r>
      <w:r w:rsidR="00D57B39" w:rsidRPr="001B7293">
        <w:rPr>
          <w:rFonts w:ascii="Arial" w:eastAsia="Arial Unicode MS" w:hAnsi="Arial" w:cs="Arial Unicode MS"/>
          <w:sz w:val="20"/>
          <w:szCs w:val="20"/>
          <w:bdr w:val="nil"/>
        </w:rPr>
        <w:t>execut</w:t>
      </w:r>
      <w:r w:rsidR="00196E78">
        <w:rPr>
          <w:rFonts w:ascii="Arial" w:eastAsia="Arial Unicode MS" w:hAnsi="Arial" w:cs="Arial Unicode MS"/>
          <w:sz w:val="20"/>
          <w:szCs w:val="20"/>
          <w:bdr w:val="nil"/>
        </w:rPr>
        <w:t>ing</w:t>
      </w:r>
      <w:r w:rsidR="00D57B39" w:rsidRPr="001B7293">
        <w:rPr>
          <w:rFonts w:ascii="Arial" w:eastAsia="Arial Unicode MS" w:hAnsi="Arial" w:cs="Arial Unicode MS"/>
          <w:sz w:val="20"/>
          <w:szCs w:val="20"/>
          <w:bdr w:val="nil"/>
        </w:rPr>
        <w:t xml:space="preserve"> our financial plan on the path to our next </w:t>
      </w:r>
      <w:r w:rsidR="00196E78">
        <w:rPr>
          <w:rFonts w:ascii="Arial" w:eastAsia="Arial Unicode MS" w:hAnsi="Arial" w:cs="Arial Unicode MS"/>
          <w:sz w:val="20"/>
          <w:szCs w:val="20"/>
          <w:bdr w:val="nil"/>
        </w:rPr>
        <w:t xml:space="preserve">significant </w:t>
      </w:r>
      <w:r w:rsidR="00D57B39" w:rsidRPr="001B7293">
        <w:rPr>
          <w:rFonts w:ascii="Arial" w:eastAsia="Arial Unicode MS" w:hAnsi="Arial" w:cs="Arial Unicode MS"/>
          <w:sz w:val="20"/>
          <w:szCs w:val="20"/>
          <w:bdr w:val="nil"/>
        </w:rPr>
        <w:t xml:space="preserve">milestone </w:t>
      </w:r>
      <w:r w:rsidR="001A089B">
        <w:rPr>
          <w:rFonts w:ascii="Arial" w:eastAsia="Arial Unicode MS" w:hAnsi="Arial" w:cs="Arial Unicode MS"/>
          <w:sz w:val="20"/>
          <w:szCs w:val="20"/>
          <w:bdr w:val="nil"/>
        </w:rPr>
        <w:t>as we expect to achieve</w:t>
      </w:r>
      <w:r w:rsidR="00D57B39" w:rsidRPr="001B7293">
        <w:rPr>
          <w:rFonts w:ascii="Arial" w:eastAsia="Arial Unicode MS" w:hAnsi="Arial" w:cs="Arial Unicode MS"/>
          <w:sz w:val="20"/>
          <w:szCs w:val="20"/>
          <w:bdr w:val="nil"/>
        </w:rPr>
        <w:t xml:space="preserve"> positive </w:t>
      </w:r>
      <w:r w:rsidR="00C249D8">
        <w:rPr>
          <w:rFonts w:ascii="Arial" w:eastAsia="Arial Unicode MS" w:hAnsi="Arial" w:cs="Arial Unicode MS"/>
          <w:sz w:val="20"/>
          <w:szCs w:val="20"/>
          <w:bdr w:val="nil"/>
        </w:rPr>
        <w:t>O</w:t>
      </w:r>
      <w:r w:rsidR="00C249D8" w:rsidRPr="001B7293">
        <w:rPr>
          <w:rFonts w:ascii="Arial" w:eastAsia="Arial Unicode MS" w:hAnsi="Arial" w:cs="Arial Unicode MS"/>
          <w:sz w:val="20"/>
          <w:szCs w:val="20"/>
          <w:bdr w:val="nil"/>
        </w:rPr>
        <w:t xml:space="preserve">perating </w:t>
      </w:r>
      <w:r w:rsidR="00C249D8">
        <w:rPr>
          <w:rFonts w:ascii="Arial" w:eastAsia="Arial Unicode MS" w:hAnsi="Arial" w:cs="Arial Unicode MS"/>
          <w:sz w:val="20"/>
          <w:szCs w:val="20"/>
          <w:bdr w:val="nil"/>
        </w:rPr>
        <w:t>C</w:t>
      </w:r>
      <w:r w:rsidR="00C249D8" w:rsidRPr="001B7293">
        <w:rPr>
          <w:rFonts w:ascii="Arial" w:eastAsia="Arial Unicode MS" w:hAnsi="Arial" w:cs="Arial Unicode MS"/>
          <w:sz w:val="20"/>
          <w:szCs w:val="20"/>
          <w:bdr w:val="nil"/>
        </w:rPr>
        <w:t xml:space="preserve">ash </w:t>
      </w:r>
      <w:r w:rsidR="00C249D8">
        <w:rPr>
          <w:rFonts w:ascii="Arial" w:eastAsia="Arial Unicode MS" w:hAnsi="Arial" w:cs="Arial Unicode MS"/>
          <w:sz w:val="20"/>
          <w:szCs w:val="20"/>
          <w:bdr w:val="nil"/>
        </w:rPr>
        <w:t>F</w:t>
      </w:r>
      <w:r w:rsidR="00C249D8" w:rsidRPr="001B7293">
        <w:rPr>
          <w:rFonts w:ascii="Arial" w:eastAsia="Arial Unicode MS" w:hAnsi="Arial" w:cs="Arial Unicode MS"/>
          <w:sz w:val="20"/>
          <w:szCs w:val="20"/>
          <w:bdr w:val="nil"/>
        </w:rPr>
        <w:t xml:space="preserve">low </w:t>
      </w:r>
      <w:r w:rsidR="00D57B39" w:rsidRPr="001B7293">
        <w:rPr>
          <w:rFonts w:ascii="Arial" w:eastAsia="Arial Unicode MS" w:hAnsi="Arial" w:cs="Arial Unicode MS"/>
          <w:sz w:val="20"/>
          <w:szCs w:val="20"/>
          <w:bdr w:val="nil"/>
        </w:rPr>
        <w:t>in the second quarter</w:t>
      </w:r>
      <w:r w:rsidRPr="001B7293">
        <w:rPr>
          <w:rFonts w:ascii="Arial" w:eastAsia="Arial Unicode MS" w:hAnsi="Arial" w:cs="Arial Unicode MS"/>
          <w:sz w:val="20"/>
          <w:szCs w:val="20"/>
          <w:bdr w:val="nil"/>
        </w:rPr>
        <w:t>,</w:t>
      </w:r>
      <w:r w:rsidR="00C2107F" w:rsidRPr="001B7293">
        <w:rPr>
          <w:rFonts w:ascii="Arial" w:eastAsia="Arial Unicode MS" w:hAnsi="Arial" w:cs="Arial Unicode MS"/>
          <w:sz w:val="20"/>
          <w:szCs w:val="20"/>
          <w:bdr w:val="nil"/>
        </w:rPr>
        <w:t>”</w:t>
      </w:r>
      <w:r w:rsidRPr="001B7293">
        <w:rPr>
          <w:rFonts w:ascii="Arial" w:eastAsia="Arial Unicode MS" w:hAnsi="Arial" w:cs="Arial Unicode MS"/>
          <w:sz w:val="20"/>
          <w:szCs w:val="20"/>
          <w:bdr w:val="nil"/>
        </w:rPr>
        <w:t xml:space="preserve"> said Mark A. </w:t>
      </w:r>
      <w:proofErr w:type="spellStart"/>
      <w:r w:rsidRPr="001B7293">
        <w:rPr>
          <w:rFonts w:ascii="Arial" w:eastAsia="Arial Unicode MS" w:hAnsi="Arial" w:cs="Arial Unicode MS"/>
          <w:sz w:val="20"/>
          <w:szCs w:val="20"/>
          <w:bdr w:val="nil"/>
        </w:rPr>
        <w:t>Kempa</w:t>
      </w:r>
      <w:proofErr w:type="spellEnd"/>
      <w:r w:rsidRPr="001B7293">
        <w:rPr>
          <w:rFonts w:ascii="Arial" w:eastAsia="Arial Unicode MS" w:hAnsi="Arial" w:cs="Arial Unicode MS"/>
          <w:sz w:val="20"/>
          <w:szCs w:val="20"/>
          <w:bdr w:val="nil"/>
        </w:rPr>
        <w:t>, executive vice president and chief financial officer of Norwegian Cruise Line Holdings Ltd.</w:t>
      </w:r>
      <w:r w:rsidR="00C2107F" w:rsidRPr="001B7293">
        <w:rPr>
          <w:rFonts w:ascii="Arial" w:eastAsia="Arial Unicode MS" w:hAnsi="Arial" w:cs="Arial Unicode MS"/>
          <w:sz w:val="20"/>
          <w:szCs w:val="20"/>
          <w:bdr w:val="nil"/>
        </w:rPr>
        <w:t xml:space="preserve">  “We continue to be opportunistic in accessing the capital markets </w:t>
      </w:r>
      <w:r w:rsidR="00910591" w:rsidRPr="001B7293">
        <w:rPr>
          <w:rFonts w:ascii="Arial" w:eastAsia="Arial Unicode MS" w:hAnsi="Arial" w:cs="Arial Unicode MS"/>
          <w:sz w:val="20"/>
          <w:szCs w:val="20"/>
          <w:bdr w:val="nil"/>
        </w:rPr>
        <w:t>to optimize</w:t>
      </w:r>
      <w:r w:rsidR="00D57B39" w:rsidRPr="001B7293">
        <w:rPr>
          <w:rFonts w:ascii="Arial" w:eastAsia="Arial Unicode MS" w:hAnsi="Arial" w:cs="Arial Unicode MS"/>
          <w:sz w:val="20"/>
          <w:szCs w:val="20"/>
          <w:bdr w:val="nil"/>
        </w:rPr>
        <w:t xml:space="preserve"> </w:t>
      </w:r>
      <w:r w:rsidR="00910591" w:rsidRPr="001B7293">
        <w:rPr>
          <w:rFonts w:ascii="Arial" w:eastAsia="Arial Unicode MS" w:hAnsi="Arial" w:cs="Arial Unicode MS"/>
          <w:sz w:val="20"/>
          <w:szCs w:val="20"/>
          <w:bdr w:val="nil"/>
        </w:rPr>
        <w:t>our capital structure</w:t>
      </w:r>
      <w:r w:rsidR="00D73F7C" w:rsidRPr="001B7293">
        <w:rPr>
          <w:rFonts w:ascii="Arial" w:eastAsia="Arial Unicode MS" w:hAnsi="Arial" w:cs="Arial Unicode MS"/>
          <w:sz w:val="20"/>
          <w:szCs w:val="20"/>
          <w:bdr w:val="nil"/>
        </w:rPr>
        <w:t xml:space="preserve"> </w:t>
      </w:r>
      <w:r w:rsidR="00196E78">
        <w:rPr>
          <w:rFonts w:ascii="Arial" w:eastAsia="Arial Unicode MS" w:hAnsi="Arial" w:cs="Arial Unicode MS"/>
          <w:sz w:val="20"/>
          <w:szCs w:val="20"/>
          <w:bdr w:val="nil"/>
        </w:rPr>
        <w:t xml:space="preserve">by eliminating </w:t>
      </w:r>
      <w:r w:rsidR="00C249D8">
        <w:rPr>
          <w:rFonts w:ascii="Arial" w:eastAsia="Arial Unicode MS" w:hAnsi="Arial" w:cs="Arial Unicode MS"/>
          <w:sz w:val="20"/>
          <w:szCs w:val="20"/>
          <w:bdr w:val="nil"/>
        </w:rPr>
        <w:t>high-</w:t>
      </w:r>
      <w:r w:rsidR="00196E78">
        <w:rPr>
          <w:rFonts w:ascii="Arial" w:eastAsia="Arial Unicode MS" w:hAnsi="Arial" w:cs="Arial Unicode MS"/>
          <w:sz w:val="20"/>
          <w:szCs w:val="20"/>
          <w:bdr w:val="nil"/>
        </w:rPr>
        <w:t>cost debt incurred during the crisis</w:t>
      </w:r>
      <w:r w:rsidR="00F762C6" w:rsidRPr="001B7293">
        <w:rPr>
          <w:rFonts w:ascii="Arial" w:eastAsia="Arial Unicode MS" w:hAnsi="Arial" w:cs="Arial Unicode MS"/>
          <w:sz w:val="20"/>
          <w:szCs w:val="20"/>
          <w:bdr w:val="nil"/>
        </w:rPr>
        <w:t>.”</w:t>
      </w:r>
      <w:r w:rsidR="00762CBF" w:rsidRPr="001B7293">
        <w:rPr>
          <w:rFonts w:ascii="Arial" w:eastAsia="Arial Unicode MS" w:hAnsi="Arial" w:cs="Arial Unicode MS"/>
          <w:sz w:val="20"/>
          <w:szCs w:val="20"/>
          <w:bdr w:val="nil"/>
        </w:rPr>
        <w:t xml:space="preserve"> </w:t>
      </w:r>
      <w:r w:rsidR="00D5525C" w:rsidRPr="001B7293">
        <w:rPr>
          <w:rFonts w:ascii="Arial" w:eastAsia="Arial Unicode MS" w:hAnsi="Arial" w:cs="Arial Unicode MS"/>
          <w:sz w:val="20"/>
          <w:szCs w:val="20"/>
          <w:bdr w:val="nil"/>
        </w:rPr>
        <w:t xml:space="preserve"> </w:t>
      </w:r>
    </w:p>
    <w:bookmarkEnd w:id="8"/>
    <w:bookmarkEnd w:id="12"/>
    <w:p w14:paraId="388B0910" w14:textId="229601DB" w:rsidR="0020114E" w:rsidRPr="0020114E" w:rsidRDefault="0020114E">
      <w:pPr>
        <w:spacing w:line="360" w:lineRule="auto"/>
        <w:jc w:val="both"/>
        <w:rPr>
          <w:rFonts w:ascii="Arial" w:hAnsi="Arial"/>
          <w:b/>
          <w:bCs/>
          <w:sz w:val="20"/>
          <w:szCs w:val="20"/>
          <w:u w:val="single"/>
        </w:rPr>
      </w:pPr>
      <w:r w:rsidRPr="0020114E">
        <w:rPr>
          <w:rFonts w:ascii="Arial" w:hAnsi="Arial"/>
          <w:b/>
          <w:bCs/>
          <w:sz w:val="20"/>
          <w:szCs w:val="20"/>
          <w:u w:val="single"/>
        </w:rPr>
        <w:t xml:space="preserve">Full Year 2021 Results </w:t>
      </w:r>
    </w:p>
    <w:p w14:paraId="6FD1FD61" w14:textId="37A5C9A1" w:rsidR="0020114E" w:rsidRDefault="0020114E">
      <w:pPr>
        <w:spacing w:line="360" w:lineRule="auto"/>
        <w:jc w:val="both"/>
        <w:rPr>
          <w:rFonts w:ascii="Arial" w:hAnsi="Arial"/>
          <w:b/>
          <w:bCs/>
          <w:sz w:val="20"/>
          <w:szCs w:val="20"/>
          <w:highlight w:val="yellow"/>
          <w:u w:val="single"/>
        </w:rPr>
      </w:pPr>
    </w:p>
    <w:p w14:paraId="30DFB647" w14:textId="6680F4AF" w:rsidR="0020114E" w:rsidRPr="001B7293" w:rsidRDefault="0020114E" w:rsidP="0020114E">
      <w:pPr>
        <w:spacing w:line="360" w:lineRule="auto"/>
        <w:jc w:val="both"/>
        <w:rPr>
          <w:rFonts w:ascii="Arial" w:hAnsi="Arial"/>
          <w:color w:val="auto"/>
          <w:sz w:val="20"/>
          <w:szCs w:val="20"/>
        </w:rPr>
      </w:pPr>
      <w:r w:rsidRPr="001B7293">
        <w:rPr>
          <w:rFonts w:ascii="Arial" w:hAnsi="Arial"/>
          <w:color w:val="auto"/>
          <w:sz w:val="20"/>
          <w:szCs w:val="20"/>
        </w:rPr>
        <w:t>GAAP net loss was $(4.</w:t>
      </w:r>
      <w:r w:rsidR="002549D8" w:rsidRPr="001B7293">
        <w:rPr>
          <w:rFonts w:ascii="Arial" w:hAnsi="Arial"/>
          <w:color w:val="auto"/>
          <w:sz w:val="20"/>
          <w:szCs w:val="20"/>
        </w:rPr>
        <w:t>5</w:t>
      </w:r>
      <w:r w:rsidRPr="001B7293">
        <w:rPr>
          <w:rFonts w:ascii="Arial" w:hAnsi="Arial"/>
          <w:color w:val="auto"/>
          <w:sz w:val="20"/>
          <w:szCs w:val="20"/>
        </w:rPr>
        <w:t>) billion or EPS of $(</w:t>
      </w:r>
      <w:r w:rsidR="002549D8" w:rsidRPr="001B7293">
        <w:rPr>
          <w:rFonts w:ascii="Arial" w:hAnsi="Arial"/>
          <w:color w:val="auto"/>
          <w:sz w:val="20"/>
          <w:szCs w:val="20"/>
        </w:rPr>
        <w:t>12</w:t>
      </w:r>
      <w:r w:rsidRPr="001B7293">
        <w:rPr>
          <w:rFonts w:ascii="Arial" w:hAnsi="Arial"/>
          <w:color w:val="auto"/>
          <w:sz w:val="20"/>
          <w:szCs w:val="20"/>
        </w:rPr>
        <w:t>.</w:t>
      </w:r>
      <w:r w:rsidR="002549D8" w:rsidRPr="001B7293">
        <w:rPr>
          <w:rFonts w:ascii="Arial" w:hAnsi="Arial"/>
          <w:color w:val="auto"/>
          <w:sz w:val="20"/>
          <w:szCs w:val="20"/>
        </w:rPr>
        <w:t>33</w:t>
      </w:r>
      <w:r w:rsidRPr="001B7293">
        <w:rPr>
          <w:rFonts w:ascii="Arial" w:hAnsi="Arial"/>
          <w:color w:val="auto"/>
          <w:sz w:val="20"/>
          <w:szCs w:val="20"/>
        </w:rPr>
        <w:t xml:space="preserve">) compared to </w:t>
      </w:r>
      <w:r w:rsidR="003E3FE4" w:rsidRPr="001B7293">
        <w:rPr>
          <w:rFonts w:ascii="Arial" w:hAnsi="Arial"/>
          <w:color w:val="auto"/>
          <w:sz w:val="20"/>
          <w:szCs w:val="20"/>
        </w:rPr>
        <w:t xml:space="preserve">a </w:t>
      </w:r>
      <w:r w:rsidRPr="001B7293">
        <w:rPr>
          <w:rFonts w:ascii="Arial" w:hAnsi="Arial"/>
          <w:color w:val="auto"/>
          <w:sz w:val="20"/>
          <w:szCs w:val="20"/>
        </w:rPr>
        <w:t xml:space="preserve">net </w:t>
      </w:r>
      <w:r w:rsidR="002549D8" w:rsidRPr="001B7293">
        <w:rPr>
          <w:rFonts w:ascii="Arial" w:hAnsi="Arial"/>
          <w:color w:val="auto"/>
          <w:sz w:val="20"/>
          <w:szCs w:val="20"/>
        </w:rPr>
        <w:t>loss</w:t>
      </w:r>
      <w:r w:rsidRPr="001B7293">
        <w:rPr>
          <w:rFonts w:ascii="Arial" w:hAnsi="Arial"/>
          <w:color w:val="auto"/>
          <w:sz w:val="20"/>
          <w:szCs w:val="20"/>
        </w:rPr>
        <w:t xml:space="preserve"> of $</w:t>
      </w:r>
      <w:r w:rsidR="002549D8" w:rsidRPr="001B7293">
        <w:rPr>
          <w:rFonts w:ascii="Arial" w:hAnsi="Arial"/>
          <w:color w:val="auto"/>
          <w:sz w:val="20"/>
          <w:szCs w:val="20"/>
        </w:rPr>
        <w:t>(4.0)</w:t>
      </w:r>
      <w:r w:rsidRPr="001B7293">
        <w:rPr>
          <w:rFonts w:ascii="Arial" w:hAnsi="Arial"/>
          <w:color w:val="auto"/>
          <w:sz w:val="20"/>
          <w:szCs w:val="20"/>
        </w:rPr>
        <w:t xml:space="preserve"> </w:t>
      </w:r>
      <w:r w:rsidR="002549D8" w:rsidRPr="001B7293">
        <w:rPr>
          <w:rFonts w:ascii="Arial" w:hAnsi="Arial"/>
          <w:color w:val="auto"/>
          <w:sz w:val="20"/>
          <w:szCs w:val="20"/>
        </w:rPr>
        <w:t>b</w:t>
      </w:r>
      <w:r w:rsidRPr="001B7293">
        <w:rPr>
          <w:rFonts w:ascii="Arial" w:hAnsi="Arial"/>
          <w:color w:val="auto"/>
          <w:sz w:val="20"/>
          <w:szCs w:val="20"/>
        </w:rPr>
        <w:t>illion or EPS of $</w:t>
      </w:r>
      <w:r w:rsidR="003E3FE4" w:rsidRPr="001B7293">
        <w:rPr>
          <w:rFonts w:ascii="Arial" w:hAnsi="Arial"/>
          <w:color w:val="auto"/>
          <w:sz w:val="20"/>
          <w:szCs w:val="20"/>
        </w:rPr>
        <w:t>(15.75)</w:t>
      </w:r>
      <w:r w:rsidRPr="001B7293">
        <w:rPr>
          <w:rFonts w:ascii="Arial" w:hAnsi="Arial"/>
          <w:color w:val="auto"/>
          <w:sz w:val="20"/>
          <w:szCs w:val="20"/>
        </w:rPr>
        <w:t xml:space="preserve"> in the prior year. The Company reported Adjusted Net Loss of $(</w:t>
      </w:r>
      <w:r w:rsidR="003E3FE4" w:rsidRPr="001B7293">
        <w:rPr>
          <w:rFonts w:ascii="Arial" w:hAnsi="Arial"/>
          <w:color w:val="auto"/>
          <w:sz w:val="20"/>
          <w:szCs w:val="20"/>
        </w:rPr>
        <w:t>2.9</w:t>
      </w:r>
      <w:r w:rsidRPr="001B7293">
        <w:rPr>
          <w:rFonts w:ascii="Arial" w:hAnsi="Arial"/>
          <w:color w:val="auto"/>
          <w:sz w:val="20"/>
          <w:szCs w:val="20"/>
        </w:rPr>
        <w:t>) billion or Adjusted EPS of $(8.</w:t>
      </w:r>
      <w:r w:rsidR="003E3FE4" w:rsidRPr="001B7293">
        <w:rPr>
          <w:rFonts w:ascii="Arial" w:hAnsi="Arial"/>
          <w:color w:val="auto"/>
          <w:sz w:val="20"/>
          <w:szCs w:val="20"/>
        </w:rPr>
        <w:t>07</w:t>
      </w:r>
      <w:r w:rsidRPr="001B7293">
        <w:rPr>
          <w:rFonts w:ascii="Arial" w:hAnsi="Arial"/>
          <w:color w:val="auto"/>
          <w:sz w:val="20"/>
          <w:szCs w:val="20"/>
        </w:rPr>
        <w:t>) in 202</w:t>
      </w:r>
      <w:r w:rsidR="003E3FE4" w:rsidRPr="001B7293">
        <w:rPr>
          <w:rFonts w:ascii="Arial" w:hAnsi="Arial"/>
          <w:color w:val="auto"/>
          <w:sz w:val="20"/>
          <w:szCs w:val="20"/>
        </w:rPr>
        <w:t>1</w:t>
      </w:r>
      <w:r w:rsidRPr="001B7293">
        <w:rPr>
          <w:rFonts w:ascii="Arial" w:hAnsi="Arial"/>
          <w:color w:val="auto"/>
          <w:sz w:val="20"/>
          <w:szCs w:val="20"/>
        </w:rPr>
        <w:t xml:space="preserve">. This compares to Adjusted Net </w:t>
      </w:r>
      <w:r w:rsidR="003E3FE4" w:rsidRPr="001B7293">
        <w:rPr>
          <w:rFonts w:ascii="Arial" w:hAnsi="Arial"/>
          <w:color w:val="auto"/>
          <w:sz w:val="20"/>
          <w:szCs w:val="20"/>
        </w:rPr>
        <w:t>Loss</w:t>
      </w:r>
      <w:r w:rsidRPr="001B7293">
        <w:rPr>
          <w:rFonts w:ascii="Arial" w:hAnsi="Arial"/>
          <w:color w:val="auto"/>
          <w:sz w:val="20"/>
          <w:szCs w:val="20"/>
        </w:rPr>
        <w:t xml:space="preserve"> and Adjusted EPS of $</w:t>
      </w:r>
      <w:r w:rsidR="003E3FE4" w:rsidRPr="001B7293">
        <w:rPr>
          <w:rFonts w:ascii="Arial" w:hAnsi="Arial"/>
          <w:color w:val="auto"/>
          <w:sz w:val="20"/>
          <w:szCs w:val="20"/>
        </w:rPr>
        <w:t>(2.2)</w:t>
      </w:r>
      <w:r w:rsidRPr="001B7293">
        <w:rPr>
          <w:rFonts w:ascii="Arial" w:hAnsi="Arial"/>
          <w:color w:val="auto"/>
          <w:sz w:val="20"/>
          <w:szCs w:val="20"/>
        </w:rPr>
        <w:t xml:space="preserve"> billion and $</w:t>
      </w:r>
      <w:r w:rsidR="003E3FE4" w:rsidRPr="001B7293">
        <w:rPr>
          <w:rFonts w:ascii="Arial" w:hAnsi="Arial"/>
          <w:color w:val="auto"/>
          <w:sz w:val="20"/>
          <w:szCs w:val="20"/>
        </w:rPr>
        <w:t>(8.64)</w:t>
      </w:r>
      <w:r w:rsidRPr="001B7293">
        <w:rPr>
          <w:rFonts w:ascii="Arial" w:hAnsi="Arial"/>
          <w:color w:val="auto"/>
          <w:sz w:val="20"/>
          <w:szCs w:val="20"/>
        </w:rPr>
        <w:t xml:space="preserve">, respectively, in </w:t>
      </w:r>
      <w:r w:rsidR="003E3FE4" w:rsidRPr="001B7293">
        <w:rPr>
          <w:rFonts w:ascii="Arial" w:hAnsi="Arial"/>
          <w:color w:val="auto"/>
          <w:sz w:val="20"/>
          <w:szCs w:val="20"/>
        </w:rPr>
        <w:t>2020</w:t>
      </w:r>
      <w:r w:rsidRPr="001B7293">
        <w:rPr>
          <w:rFonts w:ascii="Arial" w:hAnsi="Arial"/>
          <w:color w:val="auto"/>
          <w:sz w:val="20"/>
          <w:szCs w:val="20"/>
        </w:rPr>
        <w:t>.</w:t>
      </w:r>
    </w:p>
    <w:p w14:paraId="2BE9A247" w14:textId="77777777" w:rsidR="0020114E" w:rsidRPr="001B7293" w:rsidRDefault="0020114E" w:rsidP="0020114E">
      <w:pPr>
        <w:spacing w:line="360" w:lineRule="auto"/>
        <w:jc w:val="both"/>
        <w:rPr>
          <w:rFonts w:ascii="Arial" w:hAnsi="Arial"/>
          <w:color w:val="auto"/>
          <w:sz w:val="20"/>
          <w:szCs w:val="20"/>
          <w:highlight w:val="yellow"/>
        </w:rPr>
      </w:pPr>
    </w:p>
    <w:p w14:paraId="11609DE2" w14:textId="7CCB2166" w:rsidR="0020114E" w:rsidRPr="001B7293" w:rsidRDefault="003E3FE4" w:rsidP="0020114E">
      <w:pPr>
        <w:spacing w:line="360" w:lineRule="auto"/>
        <w:jc w:val="both"/>
        <w:rPr>
          <w:rFonts w:ascii="Arial" w:hAnsi="Arial"/>
          <w:color w:val="auto"/>
          <w:sz w:val="20"/>
          <w:szCs w:val="20"/>
        </w:rPr>
      </w:pPr>
      <w:r w:rsidRPr="001B7293">
        <w:rPr>
          <w:rFonts w:ascii="Arial" w:hAnsi="Arial"/>
          <w:color w:val="auto"/>
          <w:sz w:val="20"/>
          <w:szCs w:val="20"/>
        </w:rPr>
        <w:t xml:space="preserve">Total revenue decreased 49.4% to $0.6 billion in 2021 compared to $1.3 billion in 2020. </w:t>
      </w:r>
      <w:proofErr w:type="gramStart"/>
      <w:r w:rsidRPr="001B7293">
        <w:rPr>
          <w:rFonts w:ascii="Arial" w:hAnsi="Arial"/>
          <w:color w:val="auto"/>
          <w:sz w:val="20"/>
          <w:szCs w:val="20"/>
        </w:rPr>
        <w:t>The adverse impact on revenue was due to the suspension of all cruise voyages in March 2020 through the first half of 2021 and the phased relaunch of certain cruise voyages with ships initially operating at reduced occupancy levels in the second half of 2021 as a result of the COVID-19 pandemic, which resulted in a decrease in Capacity Days of 18.1%.</w:t>
      </w:r>
      <w:proofErr w:type="gramEnd"/>
    </w:p>
    <w:p w14:paraId="1134F4C2" w14:textId="77777777" w:rsidR="0020114E" w:rsidRPr="001B7293" w:rsidRDefault="0020114E" w:rsidP="0020114E">
      <w:pPr>
        <w:spacing w:line="360" w:lineRule="auto"/>
        <w:jc w:val="both"/>
        <w:rPr>
          <w:rFonts w:ascii="Arial" w:hAnsi="Arial"/>
          <w:color w:val="auto"/>
          <w:sz w:val="20"/>
          <w:szCs w:val="20"/>
          <w:highlight w:val="yellow"/>
        </w:rPr>
      </w:pPr>
    </w:p>
    <w:p w14:paraId="4F630478" w14:textId="06499D31" w:rsidR="0020114E" w:rsidRPr="001B7293" w:rsidRDefault="00DE22FA" w:rsidP="0020114E">
      <w:pPr>
        <w:spacing w:line="360" w:lineRule="auto"/>
        <w:jc w:val="both"/>
        <w:rPr>
          <w:rFonts w:ascii="Arial" w:hAnsi="Arial"/>
          <w:color w:val="auto"/>
          <w:sz w:val="20"/>
          <w:szCs w:val="20"/>
        </w:rPr>
      </w:pPr>
      <w:r w:rsidRPr="001B7293">
        <w:rPr>
          <w:rFonts w:ascii="Arial" w:hAnsi="Arial"/>
          <w:color w:val="auto"/>
          <w:sz w:val="20"/>
          <w:szCs w:val="20"/>
        </w:rPr>
        <w:t>Total cruise operating expense decreased 5.0% in 2021</w:t>
      </w:r>
      <w:r w:rsidR="0018435D">
        <w:rPr>
          <w:rFonts w:ascii="Arial" w:hAnsi="Arial"/>
          <w:color w:val="auto"/>
          <w:sz w:val="20"/>
          <w:szCs w:val="20"/>
        </w:rPr>
        <w:t xml:space="preserve"> to $1.6 billion</w:t>
      </w:r>
      <w:r w:rsidRPr="001B7293">
        <w:rPr>
          <w:rFonts w:ascii="Arial" w:hAnsi="Arial"/>
          <w:color w:val="auto"/>
          <w:sz w:val="20"/>
          <w:szCs w:val="20"/>
        </w:rPr>
        <w:t xml:space="preserve"> compared to </w:t>
      </w:r>
      <w:r w:rsidR="0018435D">
        <w:rPr>
          <w:rFonts w:ascii="Arial" w:hAnsi="Arial"/>
          <w:color w:val="auto"/>
          <w:sz w:val="20"/>
          <w:szCs w:val="20"/>
        </w:rPr>
        <w:t xml:space="preserve">$1.7 billion in </w:t>
      </w:r>
      <w:r w:rsidRPr="001B7293">
        <w:rPr>
          <w:rFonts w:ascii="Arial" w:hAnsi="Arial"/>
          <w:color w:val="auto"/>
          <w:sz w:val="20"/>
          <w:szCs w:val="20"/>
        </w:rPr>
        <w:t xml:space="preserve">2020. In 2021, our cruise operating expenses prior to the resumption of cruise voyages were primarily related to crew costs, including salaries, food and other travel costs; fuel; and other ongoing costs such as insurance and ship maintenance, including Dry-dock expenses. The reduction in cruise operating expense in 2021 reflects lower direct costs, such as commissions, in the second half of 2021 due to fewer Capacity Days </w:t>
      </w:r>
      <w:r w:rsidRPr="001B7293">
        <w:rPr>
          <w:rFonts w:ascii="Arial" w:hAnsi="Arial"/>
          <w:color w:val="auto"/>
          <w:sz w:val="20"/>
          <w:szCs w:val="20"/>
        </w:rPr>
        <w:lastRenderedPageBreak/>
        <w:t>partially offset by increases in expenses related to our return to service, such as costs related to crew and passenger testing for COVID-19.</w:t>
      </w:r>
    </w:p>
    <w:p w14:paraId="0EE1074E" w14:textId="77777777" w:rsidR="00DE22FA" w:rsidRPr="00DE22FA" w:rsidRDefault="00DE22FA" w:rsidP="0020114E">
      <w:pPr>
        <w:spacing w:line="360" w:lineRule="auto"/>
        <w:jc w:val="both"/>
        <w:rPr>
          <w:rFonts w:ascii="Arial" w:hAnsi="Arial"/>
          <w:color w:val="4F81BD" w:themeColor="accent1"/>
          <w:sz w:val="20"/>
          <w:szCs w:val="20"/>
        </w:rPr>
      </w:pPr>
    </w:p>
    <w:p w14:paraId="2D62BB42" w14:textId="77777777" w:rsidR="00543F6A" w:rsidRPr="00D34391" w:rsidRDefault="00543F6A" w:rsidP="00543F6A">
      <w:pPr>
        <w:spacing w:line="360" w:lineRule="auto"/>
        <w:jc w:val="both"/>
        <w:rPr>
          <w:rFonts w:ascii="Arial" w:hAnsi="Arial"/>
          <w:sz w:val="20"/>
          <w:szCs w:val="20"/>
        </w:rPr>
      </w:pPr>
      <w:r w:rsidRPr="00D34391">
        <w:rPr>
          <w:rFonts w:ascii="Arial" w:hAnsi="Arial"/>
          <w:sz w:val="20"/>
          <w:szCs w:val="20"/>
        </w:rPr>
        <w:t>Fuel price per metric ton, net of hedges increased to $690 from $599 in 2020. The Company reported fuel expense of $301.9 million in 2021.</w:t>
      </w:r>
    </w:p>
    <w:p w14:paraId="3C0C4077" w14:textId="77777777" w:rsidR="00DE22FA" w:rsidRPr="0020114E" w:rsidRDefault="00DE22FA" w:rsidP="0020114E">
      <w:pPr>
        <w:spacing w:line="360" w:lineRule="auto"/>
        <w:jc w:val="both"/>
        <w:rPr>
          <w:rFonts w:ascii="Arial" w:hAnsi="Arial"/>
          <w:sz w:val="20"/>
          <w:szCs w:val="20"/>
          <w:highlight w:val="yellow"/>
        </w:rPr>
      </w:pPr>
    </w:p>
    <w:p w14:paraId="222176CE" w14:textId="6F0C868B" w:rsidR="00543F6A" w:rsidRPr="00543F6A" w:rsidRDefault="00543F6A" w:rsidP="00543F6A">
      <w:pPr>
        <w:spacing w:line="360" w:lineRule="auto"/>
        <w:jc w:val="both"/>
        <w:rPr>
          <w:rFonts w:ascii="Arial" w:hAnsi="Arial"/>
          <w:color w:val="auto"/>
          <w:sz w:val="20"/>
          <w:szCs w:val="20"/>
        </w:rPr>
      </w:pPr>
      <w:r w:rsidRPr="00D34391">
        <w:rPr>
          <w:rFonts w:ascii="Arial" w:hAnsi="Arial"/>
          <w:color w:val="auto"/>
          <w:sz w:val="20"/>
          <w:szCs w:val="20"/>
        </w:rPr>
        <w:t xml:space="preserve">Interest expense, net was $2.1 billion in 2021 compared to $482.3 million in 2020. The increase in 2021 </w:t>
      </w:r>
      <w:r w:rsidR="00AD7182">
        <w:rPr>
          <w:rFonts w:ascii="Arial" w:hAnsi="Arial"/>
          <w:color w:val="auto"/>
          <w:sz w:val="20"/>
          <w:szCs w:val="20"/>
        </w:rPr>
        <w:t xml:space="preserve">primarily </w:t>
      </w:r>
      <w:r w:rsidRPr="00D34391">
        <w:rPr>
          <w:rFonts w:ascii="Arial" w:hAnsi="Arial"/>
          <w:color w:val="auto"/>
          <w:sz w:val="20"/>
          <w:szCs w:val="20"/>
        </w:rPr>
        <w:t>reflects losses on extinguishment of debt and debt modification costs of $1.</w:t>
      </w:r>
      <w:r w:rsidR="00AD7182">
        <w:rPr>
          <w:rFonts w:ascii="Arial" w:hAnsi="Arial"/>
          <w:color w:val="auto"/>
          <w:sz w:val="20"/>
          <w:szCs w:val="20"/>
        </w:rPr>
        <w:t>4</w:t>
      </w:r>
      <w:r w:rsidR="00AD7182" w:rsidRPr="00D34391">
        <w:rPr>
          <w:rFonts w:ascii="Arial" w:hAnsi="Arial"/>
          <w:color w:val="auto"/>
          <w:sz w:val="20"/>
          <w:szCs w:val="20"/>
        </w:rPr>
        <w:t xml:space="preserve"> </w:t>
      </w:r>
      <w:r w:rsidRPr="00D34391">
        <w:rPr>
          <w:rFonts w:ascii="Arial" w:hAnsi="Arial"/>
          <w:color w:val="auto"/>
          <w:sz w:val="20"/>
          <w:szCs w:val="20"/>
        </w:rPr>
        <w:t>billion related to the</w:t>
      </w:r>
      <w:r w:rsidRPr="00543F6A">
        <w:rPr>
          <w:rFonts w:ascii="Arial" w:hAnsi="Arial"/>
          <w:color w:val="auto"/>
          <w:sz w:val="20"/>
          <w:szCs w:val="20"/>
        </w:rPr>
        <w:t xml:space="preserve"> repurchase of certain exchangeable notes as well as additional debt outstanding at higher interest rates, partially offset by lower LIBOR. 2020 included losses on extinguishment of debt and debt modification costs of $</w:t>
      </w:r>
      <w:r w:rsidRPr="00D34391">
        <w:rPr>
          <w:rFonts w:ascii="Arial" w:hAnsi="Arial"/>
          <w:color w:val="auto"/>
          <w:sz w:val="20"/>
          <w:szCs w:val="20"/>
        </w:rPr>
        <w:t>27.8 million.</w:t>
      </w:r>
    </w:p>
    <w:p w14:paraId="7EFD7367" w14:textId="77777777" w:rsidR="00DE22FA" w:rsidRPr="00DE22FA" w:rsidRDefault="00DE22FA" w:rsidP="0020114E">
      <w:pPr>
        <w:spacing w:line="360" w:lineRule="auto"/>
        <w:jc w:val="both"/>
        <w:rPr>
          <w:rFonts w:ascii="Arial" w:hAnsi="Arial"/>
          <w:color w:val="4F81BD" w:themeColor="accent1"/>
          <w:sz w:val="20"/>
          <w:szCs w:val="20"/>
        </w:rPr>
      </w:pPr>
    </w:p>
    <w:p w14:paraId="7BE7102B" w14:textId="29B6B81E" w:rsidR="0020114E" w:rsidRDefault="00543F6A" w:rsidP="0020114E">
      <w:pPr>
        <w:spacing w:line="360" w:lineRule="auto"/>
        <w:jc w:val="both"/>
        <w:rPr>
          <w:rFonts w:ascii="Arial" w:hAnsi="Arial"/>
          <w:strike/>
          <w:color w:val="FF0000"/>
          <w:sz w:val="20"/>
          <w:szCs w:val="20"/>
        </w:rPr>
      </w:pPr>
      <w:r w:rsidRPr="00D34391">
        <w:rPr>
          <w:rFonts w:ascii="Arial" w:hAnsi="Arial"/>
          <w:color w:val="auto"/>
          <w:sz w:val="20"/>
          <w:szCs w:val="20"/>
        </w:rPr>
        <w:t>Other income (expense), net was income of $124</w:t>
      </w:r>
      <w:r w:rsidR="00AD7182">
        <w:rPr>
          <w:rFonts w:ascii="Arial" w:hAnsi="Arial"/>
          <w:color w:val="auto"/>
          <w:sz w:val="20"/>
          <w:szCs w:val="20"/>
        </w:rPr>
        <w:t>.0</w:t>
      </w:r>
      <w:r w:rsidRPr="00D34391">
        <w:rPr>
          <w:rFonts w:ascii="Arial" w:hAnsi="Arial"/>
          <w:color w:val="auto"/>
          <w:sz w:val="20"/>
          <w:szCs w:val="20"/>
        </w:rPr>
        <w:t xml:space="preserve"> million in 2021 compared to expense of $</w:t>
      </w:r>
      <w:r w:rsidR="00082EC9">
        <w:rPr>
          <w:rFonts w:ascii="Arial" w:hAnsi="Arial"/>
          <w:color w:val="auto"/>
          <w:sz w:val="20"/>
          <w:szCs w:val="20"/>
        </w:rPr>
        <w:t>(</w:t>
      </w:r>
      <w:r w:rsidRPr="00D34391">
        <w:rPr>
          <w:rFonts w:ascii="Arial" w:hAnsi="Arial"/>
          <w:color w:val="auto"/>
          <w:sz w:val="20"/>
          <w:szCs w:val="20"/>
        </w:rPr>
        <w:t>33.6</w:t>
      </w:r>
      <w:r w:rsidR="00082EC9">
        <w:rPr>
          <w:rFonts w:ascii="Arial" w:hAnsi="Arial"/>
          <w:color w:val="auto"/>
          <w:sz w:val="20"/>
          <w:szCs w:val="20"/>
        </w:rPr>
        <w:t>)</w:t>
      </w:r>
      <w:r w:rsidRPr="00D34391">
        <w:rPr>
          <w:rFonts w:ascii="Arial" w:hAnsi="Arial"/>
          <w:color w:val="auto"/>
          <w:sz w:val="20"/>
          <w:szCs w:val="20"/>
        </w:rPr>
        <w:t xml:space="preserve"> million in 2020. </w:t>
      </w:r>
      <w:r w:rsidRPr="00D34391">
        <w:rPr>
          <w:rFonts w:ascii="Arial" w:eastAsia="Arial" w:hAnsi="Arial" w:cs="Arial"/>
          <w:color w:val="auto"/>
          <w:sz w:val="20"/>
          <w:szCs w:val="20"/>
        </w:rPr>
        <w:t>In 2021, the income primarily related to gains from derivatives not designated as hedges and foreign currency exchange.</w:t>
      </w:r>
    </w:p>
    <w:p w14:paraId="23A52762" w14:textId="77777777" w:rsidR="00543F6A" w:rsidRPr="00543F6A" w:rsidRDefault="00543F6A" w:rsidP="0020114E">
      <w:pPr>
        <w:spacing w:line="360" w:lineRule="auto"/>
        <w:jc w:val="both"/>
        <w:rPr>
          <w:rFonts w:ascii="Arial" w:hAnsi="Arial"/>
          <w:color w:val="auto"/>
          <w:sz w:val="20"/>
          <w:szCs w:val="20"/>
        </w:rPr>
      </w:pPr>
    </w:p>
    <w:p w14:paraId="3DFF70EA" w14:textId="3C50C7C1" w:rsidR="0020114E" w:rsidRDefault="00543F6A">
      <w:pPr>
        <w:spacing w:line="360" w:lineRule="auto"/>
        <w:jc w:val="both"/>
        <w:rPr>
          <w:rFonts w:ascii="Arial" w:hAnsi="Arial"/>
          <w:color w:val="auto"/>
          <w:sz w:val="20"/>
          <w:szCs w:val="20"/>
        </w:rPr>
      </w:pPr>
      <w:bookmarkStart w:id="13" w:name="_Hlk96419803"/>
      <w:r w:rsidRPr="00543F6A">
        <w:rPr>
          <w:rFonts w:ascii="Arial" w:hAnsi="Arial"/>
          <w:color w:val="auto"/>
          <w:sz w:val="20"/>
          <w:szCs w:val="20"/>
        </w:rPr>
        <w:t xml:space="preserve">Income tax expense </w:t>
      </w:r>
      <w:r w:rsidRPr="00D34391">
        <w:rPr>
          <w:rFonts w:ascii="Arial" w:hAnsi="Arial"/>
          <w:color w:val="auto"/>
          <w:sz w:val="20"/>
          <w:szCs w:val="20"/>
        </w:rPr>
        <w:t>was $5.</w:t>
      </w:r>
      <w:r w:rsidR="00AD7182">
        <w:rPr>
          <w:rFonts w:ascii="Arial" w:hAnsi="Arial"/>
          <w:color w:val="auto"/>
          <w:sz w:val="20"/>
          <w:szCs w:val="20"/>
        </w:rPr>
        <w:t>3</w:t>
      </w:r>
      <w:r w:rsidRPr="00D34391">
        <w:rPr>
          <w:rFonts w:ascii="Arial" w:hAnsi="Arial"/>
          <w:color w:val="auto"/>
          <w:sz w:val="20"/>
          <w:szCs w:val="20"/>
        </w:rPr>
        <w:t xml:space="preserve"> million in 2021 compared to $12.5 million</w:t>
      </w:r>
      <w:r w:rsidRPr="00543F6A">
        <w:rPr>
          <w:rFonts w:ascii="Arial" w:hAnsi="Arial"/>
          <w:color w:val="auto"/>
          <w:sz w:val="20"/>
          <w:szCs w:val="20"/>
        </w:rPr>
        <w:t xml:space="preserve"> in 2020. In 2020, the tax expense is primarily due to a valuation allowance of $39.6 million recognized in the fourth quarter on certain net operating loss carryforwards partially offset by </w:t>
      </w:r>
      <w:r w:rsidR="000C067D">
        <w:rPr>
          <w:rFonts w:ascii="Arial" w:hAnsi="Arial"/>
          <w:color w:val="auto"/>
          <w:sz w:val="20"/>
          <w:szCs w:val="20"/>
        </w:rPr>
        <w:t xml:space="preserve">tax benefits generated by </w:t>
      </w:r>
      <w:r w:rsidRPr="00543F6A">
        <w:rPr>
          <w:rFonts w:ascii="Arial" w:hAnsi="Arial"/>
          <w:color w:val="auto"/>
          <w:sz w:val="20"/>
          <w:szCs w:val="20"/>
        </w:rPr>
        <w:t>operating losses.</w:t>
      </w:r>
    </w:p>
    <w:bookmarkEnd w:id="13"/>
    <w:p w14:paraId="528CD739" w14:textId="77777777" w:rsidR="00543F6A" w:rsidRPr="00543F6A" w:rsidRDefault="00543F6A">
      <w:pPr>
        <w:spacing w:line="360" w:lineRule="auto"/>
        <w:jc w:val="both"/>
        <w:rPr>
          <w:rFonts w:ascii="Arial" w:hAnsi="Arial"/>
          <w:b/>
          <w:bCs/>
          <w:color w:val="auto"/>
          <w:sz w:val="20"/>
          <w:szCs w:val="20"/>
          <w:highlight w:val="yellow"/>
          <w:u w:val="single"/>
        </w:rPr>
      </w:pPr>
    </w:p>
    <w:p w14:paraId="04F1D79E" w14:textId="5A4627BC" w:rsidR="00283D42" w:rsidRPr="001B7293" w:rsidRDefault="0020114E">
      <w:pPr>
        <w:spacing w:line="360" w:lineRule="auto"/>
        <w:jc w:val="both"/>
        <w:rPr>
          <w:rFonts w:ascii="Arial" w:eastAsia="Arial" w:hAnsi="Arial" w:cs="Arial"/>
          <w:b/>
          <w:bCs/>
          <w:sz w:val="20"/>
          <w:szCs w:val="20"/>
          <w:u w:val="single"/>
        </w:rPr>
      </w:pPr>
      <w:r w:rsidRPr="001B7293">
        <w:rPr>
          <w:rFonts w:ascii="Arial" w:hAnsi="Arial"/>
          <w:b/>
          <w:bCs/>
          <w:sz w:val="20"/>
          <w:szCs w:val="20"/>
          <w:u w:val="single"/>
        </w:rPr>
        <w:t xml:space="preserve">Fourth </w:t>
      </w:r>
      <w:r w:rsidR="00EC14B6" w:rsidRPr="001B7293">
        <w:rPr>
          <w:rFonts w:ascii="Arial" w:hAnsi="Arial"/>
          <w:b/>
          <w:bCs/>
          <w:sz w:val="20"/>
          <w:szCs w:val="20"/>
          <w:u w:val="single"/>
        </w:rPr>
        <w:t xml:space="preserve">Quarter </w:t>
      </w:r>
      <w:r w:rsidR="00E720BE" w:rsidRPr="001B7293">
        <w:rPr>
          <w:rFonts w:ascii="Arial" w:hAnsi="Arial"/>
          <w:b/>
          <w:bCs/>
          <w:sz w:val="20"/>
          <w:szCs w:val="20"/>
          <w:u w:val="single"/>
        </w:rPr>
        <w:t>202</w:t>
      </w:r>
      <w:r w:rsidR="00C62CDF" w:rsidRPr="001B7293">
        <w:rPr>
          <w:rFonts w:ascii="Arial" w:hAnsi="Arial"/>
          <w:b/>
          <w:bCs/>
          <w:sz w:val="20"/>
          <w:szCs w:val="20"/>
          <w:u w:val="single"/>
        </w:rPr>
        <w:t>1</w:t>
      </w:r>
      <w:r w:rsidR="00EC14B6" w:rsidRPr="001B7293">
        <w:rPr>
          <w:rFonts w:ascii="Arial" w:hAnsi="Arial"/>
          <w:b/>
          <w:bCs/>
          <w:sz w:val="20"/>
          <w:szCs w:val="20"/>
          <w:u w:val="single"/>
        </w:rPr>
        <w:t xml:space="preserve"> Results</w:t>
      </w:r>
    </w:p>
    <w:p w14:paraId="4CE9761B" w14:textId="77777777" w:rsidR="00283D42" w:rsidRPr="0020114E" w:rsidRDefault="00283D42">
      <w:pPr>
        <w:spacing w:line="360" w:lineRule="auto"/>
        <w:jc w:val="both"/>
        <w:rPr>
          <w:rFonts w:ascii="Arial" w:eastAsia="Arial" w:hAnsi="Arial" w:cs="Arial"/>
          <w:b/>
          <w:bCs/>
          <w:sz w:val="20"/>
          <w:szCs w:val="20"/>
          <w:highlight w:val="yellow"/>
          <w:u w:val="single"/>
        </w:rPr>
      </w:pPr>
    </w:p>
    <w:p w14:paraId="3D5490E7" w14:textId="4D15257B" w:rsidR="00BA2041" w:rsidRPr="001B7293" w:rsidRDefault="00BA2041" w:rsidP="00BA2041">
      <w:pPr>
        <w:spacing w:line="360" w:lineRule="auto"/>
        <w:jc w:val="both"/>
        <w:rPr>
          <w:rFonts w:ascii="Arial" w:eastAsia="Arial" w:hAnsi="Arial" w:cs="Arial"/>
          <w:color w:val="auto"/>
          <w:sz w:val="20"/>
          <w:szCs w:val="20"/>
        </w:rPr>
      </w:pPr>
      <w:r w:rsidRPr="001B7293">
        <w:rPr>
          <w:rFonts w:ascii="Arial" w:hAnsi="Arial"/>
          <w:color w:val="auto"/>
          <w:sz w:val="20"/>
          <w:szCs w:val="20"/>
        </w:rPr>
        <w:t xml:space="preserve">GAAP net loss was </w:t>
      </w:r>
      <w:r w:rsidRPr="00D34391">
        <w:rPr>
          <w:rFonts w:ascii="Arial" w:hAnsi="Arial"/>
          <w:color w:val="auto"/>
          <w:sz w:val="20"/>
          <w:szCs w:val="20"/>
        </w:rPr>
        <w:t>$(</w:t>
      </w:r>
      <w:r w:rsidR="00E10C19" w:rsidRPr="00D34391">
        <w:rPr>
          <w:rFonts w:ascii="Arial" w:hAnsi="Arial"/>
          <w:color w:val="auto"/>
          <w:sz w:val="20"/>
          <w:szCs w:val="20"/>
        </w:rPr>
        <w:t>1.</w:t>
      </w:r>
      <w:r w:rsidR="00543F6A" w:rsidRPr="00D34391">
        <w:rPr>
          <w:rFonts w:ascii="Arial" w:hAnsi="Arial"/>
          <w:color w:val="auto"/>
          <w:sz w:val="20"/>
          <w:szCs w:val="20"/>
        </w:rPr>
        <w:t>6</w:t>
      </w:r>
      <w:r w:rsidRPr="00D34391">
        <w:rPr>
          <w:rFonts w:ascii="Arial" w:hAnsi="Arial"/>
          <w:color w:val="auto"/>
          <w:sz w:val="20"/>
          <w:szCs w:val="20"/>
        </w:rPr>
        <w:t>)</w:t>
      </w:r>
      <w:r w:rsidRPr="00D34391">
        <w:rPr>
          <w:rFonts w:ascii="Arial" w:hAnsi="Arial" w:cs="Arial"/>
          <w:color w:val="auto"/>
          <w:sz w:val="20"/>
          <w:szCs w:val="20"/>
        </w:rPr>
        <w:t xml:space="preserve"> </w:t>
      </w:r>
      <w:r w:rsidR="00E10C19" w:rsidRPr="00D34391">
        <w:rPr>
          <w:rFonts w:ascii="Arial" w:hAnsi="Arial"/>
          <w:color w:val="auto"/>
          <w:sz w:val="20"/>
          <w:szCs w:val="20"/>
        </w:rPr>
        <w:t>b</w:t>
      </w:r>
      <w:r w:rsidRPr="00D34391">
        <w:rPr>
          <w:rFonts w:ascii="Arial" w:hAnsi="Arial"/>
          <w:color w:val="auto"/>
          <w:sz w:val="20"/>
          <w:szCs w:val="20"/>
        </w:rPr>
        <w:t>illion</w:t>
      </w:r>
      <w:r w:rsidRPr="001B7293">
        <w:rPr>
          <w:rFonts w:ascii="Arial" w:hAnsi="Arial"/>
          <w:color w:val="auto"/>
          <w:sz w:val="20"/>
          <w:szCs w:val="20"/>
        </w:rPr>
        <w:t xml:space="preserve"> or EPS of $(</w:t>
      </w:r>
      <w:r w:rsidR="00E10C19" w:rsidRPr="001B7293">
        <w:rPr>
          <w:rFonts w:ascii="Arial" w:hAnsi="Arial"/>
          <w:color w:val="auto"/>
          <w:sz w:val="20"/>
          <w:szCs w:val="20"/>
        </w:rPr>
        <w:t>4.01</w:t>
      </w:r>
      <w:r w:rsidRPr="001B7293">
        <w:rPr>
          <w:rFonts w:ascii="Arial" w:hAnsi="Arial"/>
          <w:color w:val="auto"/>
          <w:sz w:val="20"/>
          <w:szCs w:val="20"/>
        </w:rPr>
        <w:t>)</w:t>
      </w:r>
      <w:r w:rsidRPr="001B7293">
        <w:rPr>
          <w:rFonts w:ascii="Arial" w:hAnsi="Arial" w:cs="Arial"/>
          <w:color w:val="auto"/>
          <w:sz w:val="20"/>
          <w:szCs w:val="20"/>
        </w:rPr>
        <w:t xml:space="preserve"> </w:t>
      </w:r>
      <w:r w:rsidRPr="001B7293">
        <w:rPr>
          <w:rFonts w:ascii="Arial" w:hAnsi="Arial"/>
          <w:color w:val="auto"/>
          <w:sz w:val="20"/>
          <w:szCs w:val="20"/>
        </w:rPr>
        <w:t xml:space="preserve">compared to </w:t>
      </w:r>
      <w:r w:rsidR="00F70DBE" w:rsidRPr="001B7293">
        <w:rPr>
          <w:rFonts w:ascii="Arial" w:hAnsi="Arial"/>
          <w:color w:val="auto"/>
          <w:sz w:val="20"/>
          <w:szCs w:val="20"/>
        </w:rPr>
        <w:t xml:space="preserve">net </w:t>
      </w:r>
      <w:r w:rsidR="00F22FC2" w:rsidRPr="001B7293">
        <w:rPr>
          <w:rFonts w:ascii="Arial" w:hAnsi="Arial"/>
          <w:color w:val="auto"/>
          <w:sz w:val="20"/>
          <w:szCs w:val="20"/>
        </w:rPr>
        <w:t>loss</w:t>
      </w:r>
      <w:r w:rsidR="00F70DBE" w:rsidRPr="001B7293">
        <w:rPr>
          <w:rFonts w:ascii="Arial" w:hAnsi="Arial"/>
          <w:color w:val="auto"/>
          <w:sz w:val="20"/>
          <w:szCs w:val="20"/>
        </w:rPr>
        <w:t xml:space="preserve"> of </w:t>
      </w:r>
      <w:r w:rsidRPr="001B7293">
        <w:rPr>
          <w:rFonts w:ascii="Arial" w:hAnsi="Arial"/>
          <w:color w:val="auto"/>
          <w:sz w:val="20"/>
          <w:szCs w:val="20"/>
        </w:rPr>
        <w:t>$</w:t>
      </w:r>
      <w:r w:rsidR="00AD7182">
        <w:rPr>
          <w:rFonts w:ascii="Arial" w:hAnsi="Arial"/>
          <w:color w:val="auto"/>
          <w:sz w:val="20"/>
          <w:szCs w:val="20"/>
        </w:rPr>
        <w:t>(</w:t>
      </w:r>
      <w:r w:rsidR="00E10C19" w:rsidRPr="001B7293">
        <w:rPr>
          <w:rFonts w:ascii="Arial" w:hAnsi="Arial"/>
          <w:color w:val="auto"/>
          <w:sz w:val="20"/>
          <w:szCs w:val="20"/>
        </w:rPr>
        <w:t>0.7</w:t>
      </w:r>
      <w:r w:rsidR="00AD7182">
        <w:rPr>
          <w:rFonts w:ascii="Arial" w:hAnsi="Arial"/>
          <w:color w:val="auto"/>
          <w:sz w:val="20"/>
          <w:szCs w:val="20"/>
        </w:rPr>
        <w:t>)</w:t>
      </w:r>
      <w:r w:rsidRPr="001B7293">
        <w:rPr>
          <w:rFonts w:ascii="Arial" w:hAnsi="Arial" w:cs="Arial"/>
          <w:color w:val="auto"/>
          <w:sz w:val="20"/>
          <w:szCs w:val="20"/>
        </w:rPr>
        <w:t xml:space="preserve"> </w:t>
      </w:r>
      <w:r w:rsidR="00E10C19" w:rsidRPr="001B7293">
        <w:rPr>
          <w:rFonts w:ascii="Arial" w:hAnsi="Arial"/>
          <w:color w:val="auto"/>
          <w:sz w:val="20"/>
          <w:szCs w:val="20"/>
        </w:rPr>
        <w:t>b</w:t>
      </w:r>
      <w:r w:rsidRPr="001B7293">
        <w:rPr>
          <w:rFonts w:ascii="Arial" w:hAnsi="Arial"/>
          <w:color w:val="auto"/>
          <w:sz w:val="20"/>
          <w:szCs w:val="20"/>
        </w:rPr>
        <w:t xml:space="preserve">illion or </w:t>
      </w:r>
      <w:r w:rsidR="00FA1F81" w:rsidRPr="001B7293">
        <w:rPr>
          <w:rFonts w:ascii="Arial" w:hAnsi="Arial"/>
          <w:color w:val="auto"/>
          <w:sz w:val="20"/>
          <w:szCs w:val="20"/>
        </w:rPr>
        <w:t xml:space="preserve">EPS of </w:t>
      </w:r>
      <w:r w:rsidRPr="001B7293">
        <w:rPr>
          <w:rFonts w:ascii="Arial" w:hAnsi="Arial"/>
          <w:color w:val="auto"/>
          <w:sz w:val="20"/>
          <w:szCs w:val="20"/>
        </w:rPr>
        <w:t>$</w:t>
      </w:r>
      <w:r w:rsidR="00F22FC2" w:rsidRPr="001B7293">
        <w:rPr>
          <w:rFonts w:ascii="Arial" w:hAnsi="Arial"/>
          <w:color w:val="auto"/>
          <w:sz w:val="20"/>
          <w:szCs w:val="20"/>
        </w:rPr>
        <w:t>(</w:t>
      </w:r>
      <w:r w:rsidR="009469B4" w:rsidRPr="001B7293">
        <w:rPr>
          <w:rFonts w:ascii="Arial" w:hAnsi="Arial"/>
          <w:color w:val="auto"/>
          <w:sz w:val="20"/>
          <w:szCs w:val="20"/>
        </w:rPr>
        <w:t>2.</w:t>
      </w:r>
      <w:r w:rsidR="00DC406F" w:rsidRPr="001B7293">
        <w:rPr>
          <w:rFonts w:ascii="Arial" w:hAnsi="Arial"/>
          <w:color w:val="auto"/>
          <w:sz w:val="20"/>
          <w:szCs w:val="20"/>
        </w:rPr>
        <w:t>5</w:t>
      </w:r>
      <w:r w:rsidR="00E10C19" w:rsidRPr="001B7293">
        <w:rPr>
          <w:rFonts w:ascii="Arial" w:hAnsi="Arial"/>
          <w:color w:val="auto"/>
          <w:sz w:val="20"/>
          <w:szCs w:val="20"/>
        </w:rPr>
        <w:t>1</w:t>
      </w:r>
      <w:r w:rsidR="00F22FC2" w:rsidRPr="001B7293">
        <w:rPr>
          <w:rFonts w:ascii="Arial" w:hAnsi="Arial"/>
          <w:color w:val="auto"/>
          <w:sz w:val="20"/>
          <w:szCs w:val="20"/>
        </w:rPr>
        <w:t>)</w:t>
      </w:r>
      <w:r w:rsidRPr="001B7293">
        <w:rPr>
          <w:rFonts w:ascii="Arial" w:hAnsi="Arial" w:cs="Arial"/>
          <w:color w:val="auto"/>
          <w:sz w:val="20"/>
          <w:szCs w:val="20"/>
        </w:rPr>
        <w:t xml:space="preserve"> </w:t>
      </w:r>
      <w:r w:rsidRPr="001B7293">
        <w:rPr>
          <w:rFonts w:ascii="Arial" w:hAnsi="Arial"/>
          <w:color w:val="auto"/>
          <w:sz w:val="20"/>
          <w:szCs w:val="20"/>
        </w:rPr>
        <w:t>in the prior year. The Company reported Adjusted Net Loss of $(</w:t>
      </w:r>
      <w:r w:rsidR="00E10C19" w:rsidRPr="001B7293">
        <w:rPr>
          <w:rFonts w:ascii="Arial" w:hAnsi="Arial"/>
          <w:color w:val="auto"/>
          <w:sz w:val="20"/>
          <w:szCs w:val="20"/>
        </w:rPr>
        <w:t>765.0</w:t>
      </w:r>
      <w:r w:rsidRPr="001B7293">
        <w:rPr>
          <w:rFonts w:ascii="Arial" w:hAnsi="Arial"/>
          <w:color w:val="auto"/>
          <w:sz w:val="20"/>
          <w:szCs w:val="20"/>
        </w:rPr>
        <w:t>)</w:t>
      </w:r>
      <w:r w:rsidRPr="001B7293">
        <w:rPr>
          <w:rFonts w:ascii="Arial" w:hAnsi="Arial" w:cs="Arial"/>
          <w:color w:val="auto"/>
          <w:sz w:val="20"/>
          <w:szCs w:val="20"/>
        </w:rPr>
        <w:t xml:space="preserve"> </w:t>
      </w:r>
      <w:r w:rsidRPr="001B7293">
        <w:rPr>
          <w:rFonts w:ascii="Arial" w:hAnsi="Arial"/>
          <w:color w:val="auto"/>
          <w:sz w:val="20"/>
          <w:szCs w:val="20"/>
        </w:rPr>
        <w:t>million or Adjusted EPS of $(</w:t>
      </w:r>
      <w:r w:rsidR="00E10C19" w:rsidRPr="001B7293">
        <w:rPr>
          <w:rFonts w:ascii="Arial" w:hAnsi="Arial"/>
          <w:color w:val="auto"/>
          <w:sz w:val="20"/>
          <w:szCs w:val="20"/>
        </w:rPr>
        <w:t>1.95</w:t>
      </w:r>
      <w:r w:rsidR="00D473D1" w:rsidRPr="001B7293">
        <w:rPr>
          <w:rFonts w:ascii="Arial" w:hAnsi="Arial"/>
          <w:color w:val="auto"/>
          <w:sz w:val="20"/>
          <w:szCs w:val="20"/>
        </w:rPr>
        <w:t>)</w:t>
      </w:r>
      <w:r w:rsidRPr="001B7293">
        <w:rPr>
          <w:rFonts w:ascii="Arial" w:hAnsi="Arial"/>
          <w:color w:val="auto"/>
          <w:sz w:val="20"/>
          <w:szCs w:val="20"/>
        </w:rPr>
        <w:t xml:space="preserve"> in 202</w:t>
      </w:r>
      <w:r w:rsidR="00F22FC2" w:rsidRPr="001B7293">
        <w:rPr>
          <w:rFonts w:ascii="Arial" w:hAnsi="Arial"/>
          <w:color w:val="auto"/>
          <w:sz w:val="20"/>
          <w:szCs w:val="20"/>
        </w:rPr>
        <w:t>1</w:t>
      </w:r>
      <w:r w:rsidRPr="001B7293">
        <w:rPr>
          <w:rFonts w:ascii="Arial" w:hAnsi="Arial" w:cs="Arial"/>
          <w:color w:val="auto"/>
          <w:sz w:val="20"/>
          <w:szCs w:val="20"/>
        </w:rPr>
        <w:t>.</w:t>
      </w:r>
      <w:r w:rsidR="008C7ECC" w:rsidRPr="001B7293">
        <w:rPr>
          <w:rFonts w:ascii="Arial" w:hAnsi="Arial" w:cs="Arial"/>
          <w:color w:val="auto"/>
          <w:sz w:val="20"/>
          <w:szCs w:val="20"/>
        </w:rPr>
        <w:t xml:space="preserve"> </w:t>
      </w:r>
      <w:r w:rsidRPr="001B7293">
        <w:rPr>
          <w:rFonts w:ascii="Arial" w:hAnsi="Arial" w:cs="Arial"/>
          <w:color w:val="auto"/>
          <w:sz w:val="20"/>
          <w:szCs w:val="20"/>
        </w:rPr>
        <w:t xml:space="preserve">This compares to Adjusted Net </w:t>
      </w:r>
      <w:r w:rsidR="00F22FC2" w:rsidRPr="001B7293">
        <w:rPr>
          <w:rFonts w:ascii="Arial" w:hAnsi="Arial" w:cs="Arial"/>
          <w:color w:val="auto"/>
          <w:sz w:val="20"/>
          <w:szCs w:val="20"/>
        </w:rPr>
        <w:t xml:space="preserve">Loss </w:t>
      </w:r>
      <w:r w:rsidRPr="001B7293">
        <w:rPr>
          <w:rFonts w:ascii="Arial" w:hAnsi="Arial" w:cs="Arial"/>
          <w:color w:val="auto"/>
          <w:sz w:val="20"/>
          <w:szCs w:val="20"/>
        </w:rPr>
        <w:t>and Adjusted EPS of $</w:t>
      </w:r>
      <w:r w:rsidR="00F22FC2" w:rsidRPr="001B7293">
        <w:rPr>
          <w:rFonts w:ascii="Arial" w:hAnsi="Arial" w:cs="Arial"/>
          <w:color w:val="auto"/>
          <w:sz w:val="20"/>
          <w:szCs w:val="20"/>
        </w:rPr>
        <w:t>(</w:t>
      </w:r>
      <w:r w:rsidR="00E10C19" w:rsidRPr="001B7293">
        <w:rPr>
          <w:rFonts w:ascii="Arial" w:hAnsi="Arial" w:cs="Arial"/>
          <w:color w:val="auto"/>
          <w:sz w:val="20"/>
          <w:szCs w:val="20"/>
        </w:rPr>
        <w:t>683.</w:t>
      </w:r>
      <w:r w:rsidR="001A34C4">
        <w:rPr>
          <w:rFonts w:ascii="Arial" w:hAnsi="Arial" w:cs="Arial"/>
          <w:color w:val="auto"/>
          <w:sz w:val="20"/>
          <w:szCs w:val="20"/>
        </w:rPr>
        <w:t>8</w:t>
      </w:r>
      <w:r w:rsidR="00F22FC2" w:rsidRPr="001B7293">
        <w:rPr>
          <w:rFonts w:ascii="Arial" w:hAnsi="Arial" w:cs="Arial"/>
          <w:color w:val="auto"/>
          <w:sz w:val="20"/>
          <w:szCs w:val="20"/>
        </w:rPr>
        <w:t>)</w:t>
      </w:r>
      <w:r w:rsidRPr="001B7293">
        <w:rPr>
          <w:rFonts w:ascii="Arial" w:hAnsi="Arial" w:cs="Arial"/>
          <w:color w:val="auto"/>
          <w:sz w:val="20"/>
          <w:szCs w:val="20"/>
        </w:rPr>
        <w:t xml:space="preserve"> million and $</w:t>
      </w:r>
      <w:r w:rsidR="00F22FC2" w:rsidRPr="001B7293">
        <w:rPr>
          <w:rFonts w:ascii="Arial" w:hAnsi="Arial" w:cs="Arial"/>
          <w:color w:val="auto"/>
          <w:sz w:val="20"/>
          <w:szCs w:val="20"/>
        </w:rPr>
        <w:t>(</w:t>
      </w:r>
      <w:r w:rsidR="009469B4" w:rsidRPr="001B7293">
        <w:rPr>
          <w:rFonts w:ascii="Arial" w:hAnsi="Arial" w:cs="Arial"/>
          <w:color w:val="auto"/>
          <w:sz w:val="20"/>
          <w:szCs w:val="20"/>
        </w:rPr>
        <w:t>2.</w:t>
      </w:r>
      <w:r w:rsidR="00FD3B0C" w:rsidRPr="001B7293">
        <w:rPr>
          <w:rFonts w:ascii="Arial" w:hAnsi="Arial" w:cs="Arial"/>
          <w:color w:val="auto"/>
          <w:sz w:val="20"/>
          <w:szCs w:val="20"/>
        </w:rPr>
        <w:t>3</w:t>
      </w:r>
      <w:r w:rsidR="00E10C19" w:rsidRPr="001B7293">
        <w:rPr>
          <w:rFonts w:ascii="Arial" w:hAnsi="Arial" w:cs="Arial"/>
          <w:color w:val="auto"/>
          <w:sz w:val="20"/>
          <w:szCs w:val="20"/>
        </w:rPr>
        <w:t>3</w:t>
      </w:r>
      <w:r w:rsidR="00F22FC2" w:rsidRPr="001B7293">
        <w:rPr>
          <w:rFonts w:ascii="Arial" w:hAnsi="Arial" w:cs="Arial"/>
          <w:color w:val="auto"/>
          <w:sz w:val="20"/>
          <w:szCs w:val="20"/>
        </w:rPr>
        <w:t>)</w:t>
      </w:r>
      <w:r w:rsidRPr="001B7293">
        <w:rPr>
          <w:rFonts w:ascii="Arial" w:hAnsi="Arial" w:cs="Arial"/>
          <w:color w:val="auto"/>
          <w:sz w:val="20"/>
          <w:szCs w:val="20"/>
        </w:rPr>
        <w:t>, respectively, in 20</w:t>
      </w:r>
      <w:r w:rsidR="00F22FC2" w:rsidRPr="001B7293">
        <w:rPr>
          <w:rFonts w:ascii="Arial" w:hAnsi="Arial" w:cs="Arial"/>
          <w:color w:val="auto"/>
          <w:sz w:val="20"/>
          <w:szCs w:val="20"/>
        </w:rPr>
        <w:t>20</w:t>
      </w:r>
      <w:r w:rsidR="003B0B5D" w:rsidRPr="001B7293">
        <w:rPr>
          <w:rFonts w:ascii="Arial" w:hAnsi="Arial"/>
          <w:color w:val="auto"/>
          <w:sz w:val="20"/>
          <w:szCs w:val="20"/>
        </w:rPr>
        <w:t>.</w:t>
      </w:r>
    </w:p>
    <w:p w14:paraId="7047C7C1" w14:textId="77777777" w:rsidR="00BA2041" w:rsidRPr="001B7293" w:rsidRDefault="00BA2041" w:rsidP="00BA2041">
      <w:pPr>
        <w:spacing w:line="360" w:lineRule="auto"/>
        <w:jc w:val="both"/>
        <w:rPr>
          <w:rFonts w:ascii="Arial" w:eastAsia="Arial" w:hAnsi="Arial" w:cs="Arial"/>
          <w:color w:val="auto"/>
          <w:sz w:val="20"/>
          <w:szCs w:val="20"/>
        </w:rPr>
      </w:pPr>
    </w:p>
    <w:p w14:paraId="0CC72F27" w14:textId="17A431A4" w:rsidR="00BA2041" w:rsidRPr="001B7293" w:rsidRDefault="00BA2041" w:rsidP="00BA2041">
      <w:pPr>
        <w:spacing w:line="360" w:lineRule="auto"/>
        <w:jc w:val="both"/>
        <w:rPr>
          <w:rFonts w:ascii="Arial" w:hAnsi="Arial"/>
          <w:color w:val="auto"/>
          <w:sz w:val="20"/>
          <w:szCs w:val="20"/>
        </w:rPr>
      </w:pPr>
      <w:r w:rsidRPr="001B7293">
        <w:rPr>
          <w:rFonts w:ascii="Arial" w:hAnsi="Arial"/>
          <w:color w:val="auto"/>
          <w:sz w:val="20"/>
          <w:szCs w:val="20"/>
        </w:rPr>
        <w:t xml:space="preserve">Revenue </w:t>
      </w:r>
      <w:r w:rsidR="00FD3B0C" w:rsidRPr="001B7293">
        <w:rPr>
          <w:rFonts w:ascii="Arial" w:hAnsi="Arial"/>
          <w:color w:val="auto"/>
          <w:sz w:val="20"/>
          <w:szCs w:val="20"/>
        </w:rPr>
        <w:t>increased</w:t>
      </w:r>
      <w:r w:rsidRPr="001B7293">
        <w:rPr>
          <w:rFonts w:ascii="Arial" w:hAnsi="Arial"/>
          <w:color w:val="auto"/>
          <w:sz w:val="20"/>
          <w:szCs w:val="20"/>
        </w:rPr>
        <w:t xml:space="preserve"> to $</w:t>
      </w:r>
      <w:r w:rsidR="00195F81" w:rsidRPr="001B7293">
        <w:rPr>
          <w:rFonts w:ascii="Arial" w:hAnsi="Arial"/>
          <w:color w:val="auto"/>
          <w:sz w:val="20"/>
          <w:szCs w:val="20"/>
        </w:rPr>
        <w:t>487.4</w:t>
      </w:r>
      <w:r w:rsidRPr="001B7293">
        <w:rPr>
          <w:rFonts w:ascii="Arial" w:hAnsi="Arial"/>
          <w:color w:val="auto"/>
          <w:sz w:val="20"/>
          <w:szCs w:val="20"/>
        </w:rPr>
        <w:t xml:space="preserve"> million compared to $</w:t>
      </w:r>
      <w:r w:rsidR="00195F81" w:rsidRPr="001B7293">
        <w:rPr>
          <w:rFonts w:ascii="Arial" w:hAnsi="Arial"/>
          <w:color w:val="auto"/>
          <w:sz w:val="20"/>
          <w:szCs w:val="20"/>
        </w:rPr>
        <w:t>9.6</w:t>
      </w:r>
      <w:r w:rsidRPr="001B7293">
        <w:rPr>
          <w:rFonts w:ascii="Arial" w:hAnsi="Arial"/>
          <w:color w:val="auto"/>
          <w:sz w:val="20"/>
          <w:szCs w:val="20"/>
        </w:rPr>
        <w:t xml:space="preserve"> </w:t>
      </w:r>
      <w:r w:rsidR="00D7006C" w:rsidRPr="001B7293">
        <w:rPr>
          <w:rFonts w:ascii="Arial" w:hAnsi="Arial"/>
          <w:color w:val="auto"/>
          <w:sz w:val="20"/>
          <w:szCs w:val="20"/>
        </w:rPr>
        <w:t>m</w:t>
      </w:r>
      <w:r w:rsidRPr="001B7293">
        <w:rPr>
          <w:rFonts w:ascii="Arial" w:hAnsi="Arial"/>
          <w:color w:val="auto"/>
          <w:sz w:val="20"/>
          <w:szCs w:val="20"/>
        </w:rPr>
        <w:t>illion in 20</w:t>
      </w:r>
      <w:r w:rsidR="00F22FC2" w:rsidRPr="001B7293">
        <w:rPr>
          <w:rFonts w:ascii="Arial" w:hAnsi="Arial"/>
          <w:color w:val="auto"/>
          <w:sz w:val="20"/>
          <w:szCs w:val="20"/>
        </w:rPr>
        <w:t>20</w:t>
      </w:r>
      <w:r w:rsidRPr="001B7293">
        <w:rPr>
          <w:rFonts w:ascii="Arial" w:hAnsi="Arial"/>
          <w:color w:val="auto"/>
          <w:sz w:val="20"/>
          <w:szCs w:val="20"/>
        </w:rPr>
        <w:t xml:space="preserve"> </w:t>
      </w:r>
      <w:r w:rsidR="00BF33D8" w:rsidRPr="001B7293">
        <w:rPr>
          <w:rFonts w:ascii="Arial" w:hAnsi="Arial"/>
          <w:color w:val="auto"/>
          <w:sz w:val="20"/>
          <w:szCs w:val="20"/>
        </w:rPr>
        <w:t xml:space="preserve">as </w:t>
      </w:r>
      <w:r w:rsidR="00FD3B0C" w:rsidRPr="001B7293">
        <w:rPr>
          <w:rFonts w:ascii="Arial" w:hAnsi="Arial"/>
          <w:color w:val="auto"/>
          <w:sz w:val="20"/>
          <w:szCs w:val="20"/>
        </w:rPr>
        <w:t xml:space="preserve">cruise </w:t>
      </w:r>
      <w:r w:rsidR="00BF33D8" w:rsidRPr="001B7293">
        <w:rPr>
          <w:rFonts w:ascii="Arial" w:hAnsi="Arial"/>
          <w:color w:val="auto"/>
          <w:sz w:val="20"/>
          <w:szCs w:val="20"/>
        </w:rPr>
        <w:t xml:space="preserve">voyages </w:t>
      </w:r>
      <w:r w:rsidR="00FD3B0C" w:rsidRPr="001B7293">
        <w:rPr>
          <w:rFonts w:ascii="Arial" w:hAnsi="Arial"/>
          <w:color w:val="auto"/>
          <w:sz w:val="20"/>
          <w:szCs w:val="20"/>
        </w:rPr>
        <w:t xml:space="preserve">resumed in the </w:t>
      </w:r>
      <w:r w:rsidRPr="001B7293">
        <w:rPr>
          <w:rFonts w:ascii="Arial" w:hAnsi="Arial"/>
          <w:color w:val="auto"/>
          <w:sz w:val="20"/>
          <w:szCs w:val="20"/>
        </w:rPr>
        <w:t xml:space="preserve">quarter. </w:t>
      </w:r>
    </w:p>
    <w:p w14:paraId="50689E58" w14:textId="77777777" w:rsidR="00BA2041" w:rsidRPr="001B7293" w:rsidRDefault="00BA2041" w:rsidP="00BA2041">
      <w:pPr>
        <w:spacing w:line="360" w:lineRule="auto"/>
        <w:jc w:val="both"/>
        <w:rPr>
          <w:rFonts w:ascii="Arial" w:hAnsi="Arial"/>
          <w:color w:val="auto"/>
          <w:sz w:val="20"/>
          <w:szCs w:val="20"/>
          <w:highlight w:val="yellow"/>
        </w:rPr>
      </w:pPr>
    </w:p>
    <w:p w14:paraId="588F7221" w14:textId="61C1ABFB" w:rsidR="00BA2041" w:rsidRPr="001B7293" w:rsidRDefault="00BA2041" w:rsidP="00BA2041">
      <w:pPr>
        <w:spacing w:line="360" w:lineRule="auto"/>
        <w:jc w:val="both"/>
        <w:rPr>
          <w:rFonts w:ascii="Arial" w:hAnsi="Arial"/>
          <w:color w:val="auto"/>
          <w:sz w:val="20"/>
          <w:szCs w:val="20"/>
        </w:rPr>
      </w:pPr>
      <w:r w:rsidRPr="001B7293">
        <w:rPr>
          <w:rFonts w:ascii="Arial" w:hAnsi="Arial"/>
          <w:color w:val="auto"/>
          <w:sz w:val="20"/>
          <w:szCs w:val="20"/>
        </w:rPr>
        <w:t xml:space="preserve">Total cruise operating expense </w:t>
      </w:r>
      <w:r w:rsidR="00FD3B0C" w:rsidRPr="001B7293">
        <w:rPr>
          <w:rFonts w:ascii="Arial" w:hAnsi="Arial"/>
          <w:color w:val="auto"/>
          <w:sz w:val="20"/>
          <w:szCs w:val="20"/>
        </w:rPr>
        <w:t>in</w:t>
      </w:r>
      <w:r w:rsidRPr="001B7293">
        <w:rPr>
          <w:rFonts w:ascii="Arial" w:hAnsi="Arial"/>
          <w:color w:val="auto"/>
          <w:sz w:val="20"/>
          <w:szCs w:val="20"/>
        </w:rPr>
        <w:t xml:space="preserve">creased </w:t>
      </w:r>
      <w:r w:rsidR="00195F81" w:rsidRPr="001B7293">
        <w:rPr>
          <w:rFonts w:ascii="Arial" w:hAnsi="Arial"/>
          <w:color w:val="auto"/>
          <w:sz w:val="20"/>
          <w:szCs w:val="20"/>
        </w:rPr>
        <w:t>246.7</w:t>
      </w:r>
      <w:r w:rsidRPr="001B7293">
        <w:rPr>
          <w:rFonts w:ascii="Arial" w:hAnsi="Arial"/>
          <w:color w:val="auto"/>
          <w:sz w:val="20"/>
          <w:szCs w:val="20"/>
        </w:rPr>
        <w:t>% in 202</w:t>
      </w:r>
      <w:r w:rsidR="00F22FC2" w:rsidRPr="001B7293">
        <w:rPr>
          <w:rFonts w:ascii="Arial" w:hAnsi="Arial"/>
          <w:color w:val="auto"/>
          <w:sz w:val="20"/>
          <w:szCs w:val="20"/>
        </w:rPr>
        <w:t>1</w:t>
      </w:r>
      <w:r w:rsidRPr="001B7293">
        <w:rPr>
          <w:rFonts w:ascii="Arial" w:hAnsi="Arial"/>
          <w:color w:val="auto"/>
          <w:sz w:val="20"/>
          <w:szCs w:val="20"/>
        </w:rPr>
        <w:t xml:space="preserve"> compared to 20</w:t>
      </w:r>
      <w:r w:rsidR="00F22FC2" w:rsidRPr="001B7293">
        <w:rPr>
          <w:rFonts w:ascii="Arial" w:hAnsi="Arial"/>
          <w:color w:val="auto"/>
          <w:sz w:val="20"/>
          <w:szCs w:val="20"/>
        </w:rPr>
        <w:t>20</w:t>
      </w:r>
      <w:r w:rsidR="00FD3B0C" w:rsidRPr="001B7293">
        <w:rPr>
          <w:rFonts w:ascii="Arial" w:hAnsi="Arial"/>
          <w:color w:val="auto"/>
          <w:sz w:val="20"/>
          <w:szCs w:val="20"/>
        </w:rPr>
        <w:t xml:space="preserve"> as cruise voyages </w:t>
      </w:r>
      <w:r w:rsidR="005732AA">
        <w:rPr>
          <w:rFonts w:ascii="Arial" w:hAnsi="Arial"/>
          <w:color w:val="auto"/>
          <w:sz w:val="20"/>
          <w:szCs w:val="20"/>
        </w:rPr>
        <w:t>continued to resume</w:t>
      </w:r>
      <w:r w:rsidR="005732AA" w:rsidRPr="001B7293">
        <w:rPr>
          <w:rFonts w:ascii="Arial" w:hAnsi="Arial"/>
          <w:color w:val="auto"/>
          <w:sz w:val="20"/>
          <w:szCs w:val="20"/>
        </w:rPr>
        <w:t xml:space="preserve"> </w:t>
      </w:r>
      <w:r w:rsidR="00FD3B0C" w:rsidRPr="001B7293">
        <w:rPr>
          <w:rFonts w:ascii="Arial" w:hAnsi="Arial"/>
          <w:color w:val="auto"/>
          <w:sz w:val="20"/>
          <w:szCs w:val="20"/>
        </w:rPr>
        <w:t>in the quarter</w:t>
      </w:r>
      <w:r w:rsidRPr="001B7293">
        <w:rPr>
          <w:rFonts w:ascii="Arial" w:hAnsi="Arial"/>
          <w:color w:val="auto"/>
          <w:sz w:val="20"/>
          <w:szCs w:val="20"/>
        </w:rPr>
        <w:t>. In 202</w:t>
      </w:r>
      <w:r w:rsidR="00F22FC2" w:rsidRPr="001B7293">
        <w:rPr>
          <w:rFonts w:ascii="Arial" w:hAnsi="Arial"/>
          <w:color w:val="auto"/>
          <w:sz w:val="20"/>
          <w:szCs w:val="20"/>
        </w:rPr>
        <w:t>1</w:t>
      </w:r>
      <w:r w:rsidRPr="001B7293">
        <w:rPr>
          <w:rFonts w:ascii="Arial" w:hAnsi="Arial"/>
          <w:color w:val="auto"/>
          <w:sz w:val="20"/>
          <w:szCs w:val="20"/>
        </w:rPr>
        <w:t xml:space="preserve">, cruise operating expenses were primarily related to crew costs, including salaries, food and other </w:t>
      </w:r>
      <w:r w:rsidR="00F22FC2" w:rsidRPr="001B7293">
        <w:rPr>
          <w:rFonts w:ascii="Arial" w:hAnsi="Arial"/>
          <w:color w:val="auto"/>
          <w:sz w:val="20"/>
          <w:szCs w:val="20"/>
        </w:rPr>
        <w:t xml:space="preserve">travel </w:t>
      </w:r>
      <w:r w:rsidRPr="001B7293">
        <w:rPr>
          <w:rFonts w:ascii="Arial" w:hAnsi="Arial"/>
          <w:color w:val="auto"/>
          <w:sz w:val="20"/>
          <w:szCs w:val="20"/>
        </w:rPr>
        <w:t>costs</w:t>
      </w:r>
      <w:r w:rsidR="00FD3B0C" w:rsidRPr="001B7293">
        <w:rPr>
          <w:rFonts w:ascii="Arial" w:hAnsi="Arial"/>
          <w:color w:val="auto"/>
          <w:sz w:val="20"/>
          <w:szCs w:val="20"/>
        </w:rPr>
        <w:t xml:space="preserve"> as ships were prepared to return to service</w:t>
      </w:r>
      <w:r w:rsidR="00893D96" w:rsidRPr="001B7293">
        <w:rPr>
          <w:rFonts w:ascii="Arial" w:hAnsi="Arial"/>
          <w:color w:val="auto"/>
          <w:sz w:val="20"/>
          <w:szCs w:val="20"/>
        </w:rPr>
        <w:t>,</w:t>
      </w:r>
      <w:r w:rsidRPr="001B7293">
        <w:rPr>
          <w:rFonts w:ascii="Arial" w:hAnsi="Arial"/>
          <w:color w:val="auto"/>
          <w:sz w:val="20"/>
          <w:szCs w:val="20"/>
        </w:rPr>
        <w:t xml:space="preserve"> fuel</w:t>
      </w:r>
      <w:r w:rsidR="00893D96" w:rsidRPr="001B7293">
        <w:rPr>
          <w:rFonts w:ascii="Arial" w:hAnsi="Arial"/>
          <w:color w:val="auto"/>
          <w:sz w:val="20"/>
          <w:szCs w:val="20"/>
        </w:rPr>
        <w:t>,</w:t>
      </w:r>
      <w:r w:rsidRPr="001B7293">
        <w:rPr>
          <w:rFonts w:ascii="Arial" w:hAnsi="Arial"/>
          <w:color w:val="auto"/>
          <w:sz w:val="20"/>
          <w:szCs w:val="20"/>
        </w:rPr>
        <w:t xml:space="preserve"> </w:t>
      </w:r>
      <w:r w:rsidR="00FD3B0C" w:rsidRPr="001B7293">
        <w:rPr>
          <w:rFonts w:ascii="Arial" w:hAnsi="Arial"/>
          <w:color w:val="auto"/>
          <w:sz w:val="20"/>
          <w:szCs w:val="20"/>
        </w:rPr>
        <w:t xml:space="preserve">costs related to health and safety protocols </w:t>
      </w:r>
      <w:r w:rsidRPr="001B7293">
        <w:rPr>
          <w:rFonts w:ascii="Arial" w:hAnsi="Arial"/>
          <w:color w:val="auto"/>
          <w:sz w:val="20"/>
          <w:szCs w:val="20"/>
        </w:rPr>
        <w:t>and other ongoing costs such as insurance and ship maintenance.</w:t>
      </w:r>
    </w:p>
    <w:p w14:paraId="121A45DD" w14:textId="77777777" w:rsidR="00BA2041" w:rsidRPr="001B7293" w:rsidRDefault="00BA2041" w:rsidP="00BA2041">
      <w:pPr>
        <w:spacing w:line="360" w:lineRule="auto"/>
        <w:jc w:val="both"/>
        <w:rPr>
          <w:rFonts w:ascii="Arial" w:hAnsi="Arial"/>
          <w:color w:val="auto"/>
          <w:sz w:val="20"/>
          <w:szCs w:val="20"/>
          <w:highlight w:val="yellow"/>
        </w:rPr>
      </w:pPr>
    </w:p>
    <w:p w14:paraId="4ADA3248" w14:textId="50321E1D" w:rsidR="00543F6A" w:rsidRPr="00D34391" w:rsidRDefault="00543F6A" w:rsidP="00543F6A">
      <w:pPr>
        <w:spacing w:line="360" w:lineRule="auto"/>
        <w:jc w:val="both"/>
        <w:rPr>
          <w:rFonts w:ascii="Arial" w:hAnsi="Arial"/>
          <w:sz w:val="20"/>
          <w:szCs w:val="20"/>
        </w:rPr>
      </w:pPr>
      <w:bookmarkStart w:id="14" w:name="_Hlk55374966"/>
      <w:r w:rsidRPr="00D34391">
        <w:rPr>
          <w:rFonts w:ascii="Arial" w:hAnsi="Arial"/>
          <w:sz w:val="20"/>
          <w:szCs w:val="20"/>
        </w:rPr>
        <w:t>Fuel price per metric ton, net of hedges, increased to $737 from $</w:t>
      </w:r>
      <w:r w:rsidRPr="00D34391">
        <w:rPr>
          <w:rFonts w:ascii="Arial" w:hAnsi="Arial" w:cs="Arial"/>
          <w:sz w:val="20"/>
          <w:szCs w:val="20"/>
        </w:rPr>
        <w:t xml:space="preserve">574 </w:t>
      </w:r>
      <w:r w:rsidRPr="00D34391">
        <w:rPr>
          <w:rFonts w:ascii="Arial" w:hAnsi="Arial"/>
          <w:sz w:val="20"/>
          <w:szCs w:val="20"/>
        </w:rPr>
        <w:t>in 2020. The Company reported fuel expense of $</w:t>
      </w:r>
      <w:r w:rsidR="00AD7182">
        <w:rPr>
          <w:rFonts w:ascii="Arial" w:hAnsi="Arial"/>
          <w:sz w:val="20"/>
          <w:szCs w:val="20"/>
        </w:rPr>
        <w:t>125.9</w:t>
      </w:r>
      <w:r w:rsidR="00AD7182" w:rsidRPr="00D34391">
        <w:rPr>
          <w:rFonts w:ascii="Arial" w:hAnsi="Arial" w:cs="Arial"/>
          <w:sz w:val="20"/>
          <w:szCs w:val="20"/>
        </w:rPr>
        <w:t xml:space="preserve"> </w:t>
      </w:r>
      <w:r w:rsidRPr="00D34391">
        <w:rPr>
          <w:rFonts w:ascii="Arial" w:hAnsi="Arial"/>
          <w:sz w:val="20"/>
          <w:szCs w:val="20"/>
        </w:rPr>
        <w:t xml:space="preserve">million in the period. </w:t>
      </w:r>
    </w:p>
    <w:p w14:paraId="6A5ABAFF" w14:textId="77777777" w:rsidR="00FD3B0C" w:rsidRPr="001B7293" w:rsidRDefault="00FD3B0C" w:rsidP="00BA2041">
      <w:pPr>
        <w:spacing w:line="360" w:lineRule="auto"/>
        <w:jc w:val="both"/>
        <w:rPr>
          <w:rFonts w:ascii="Arial" w:hAnsi="Arial"/>
          <w:color w:val="auto"/>
          <w:sz w:val="20"/>
          <w:szCs w:val="20"/>
          <w:highlight w:val="yellow"/>
        </w:rPr>
      </w:pPr>
    </w:p>
    <w:p w14:paraId="6BF27A96" w14:textId="251F38C5" w:rsidR="00FD3B0C" w:rsidRPr="00D34391" w:rsidRDefault="00FD3B0C" w:rsidP="00BA2041">
      <w:pPr>
        <w:spacing w:line="360" w:lineRule="auto"/>
        <w:jc w:val="both"/>
        <w:rPr>
          <w:rFonts w:ascii="Arial" w:eastAsia="Arial" w:hAnsi="Arial" w:cs="Arial"/>
          <w:color w:val="auto"/>
          <w:sz w:val="20"/>
          <w:szCs w:val="20"/>
        </w:rPr>
      </w:pPr>
      <w:r w:rsidRPr="00D34391">
        <w:rPr>
          <w:rFonts w:ascii="Arial" w:eastAsia="Arial" w:hAnsi="Arial" w:cs="Arial"/>
          <w:color w:val="auto"/>
          <w:sz w:val="20"/>
          <w:szCs w:val="20"/>
        </w:rPr>
        <w:lastRenderedPageBreak/>
        <w:t>Interest expense, net was $</w:t>
      </w:r>
      <w:r w:rsidR="00195F81" w:rsidRPr="00D34391">
        <w:rPr>
          <w:rFonts w:ascii="Arial" w:eastAsia="Arial" w:hAnsi="Arial" w:cs="Arial"/>
          <w:color w:val="auto"/>
          <w:sz w:val="20"/>
          <w:szCs w:val="20"/>
        </w:rPr>
        <w:t>950.0</w:t>
      </w:r>
      <w:r w:rsidRPr="00D34391">
        <w:rPr>
          <w:rFonts w:ascii="Arial" w:eastAsia="Arial" w:hAnsi="Arial" w:cs="Arial"/>
          <w:color w:val="auto"/>
          <w:sz w:val="20"/>
          <w:szCs w:val="20"/>
        </w:rPr>
        <w:t xml:space="preserve"> million in 2021 compared to $</w:t>
      </w:r>
      <w:r w:rsidR="00195F81" w:rsidRPr="00D34391">
        <w:rPr>
          <w:rFonts w:ascii="Arial" w:eastAsia="Arial" w:hAnsi="Arial" w:cs="Arial"/>
          <w:color w:val="auto"/>
          <w:sz w:val="20"/>
          <w:szCs w:val="20"/>
        </w:rPr>
        <w:t>159.2</w:t>
      </w:r>
      <w:r w:rsidRPr="00D34391">
        <w:rPr>
          <w:rFonts w:ascii="Arial" w:eastAsia="Arial" w:hAnsi="Arial" w:cs="Arial"/>
          <w:color w:val="auto"/>
          <w:sz w:val="20"/>
          <w:szCs w:val="20"/>
        </w:rPr>
        <w:t xml:space="preserve"> million in 2020. The increase in interest expense </w:t>
      </w:r>
      <w:r w:rsidR="00AD7182">
        <w:rPr>
          <w:rFonts w:ascii="Arial" w:eastAsia="Arial" w:hAnsi="Arial" w:cs="Arial"/>
          <w:color w:val="auto"/>
          <w:sz w:val="20"/>
          <w:szCs w:val="20"/>
        </w:rPr>
        <w:t xml:space="preserve">primarily </w:t>
      </w:r>
      <w:r w:rsidR="00195F81" w:rsidRPr="00D34391">
        <w:rPr>
          <w:rFonts w:ascii="Arial" w:hAnsi="Arial"/>
          <w:color w:val="auto"/>
          <w:sz w:val="20"/>
          <w:szCs w:val="20"/>
        </w:rPr>
        <w:t xml:space="preserve">reflects losses on extinguishment of debt and debt modification costs </w:t>
      </w:r>
      <w:r w:rsidR="00195F81" w:rsidRPr="00E67639">
        <w:rPr>
          <w:rFonts w:ascii="Arial" w:hAnsi="Arial"/>
          <w:color w:val="auto"/>
          <w:sz w:val="20"/>
          <w:szCs w:val="20"/>
        </w:rPr>
        <w:t>of $</w:t>
      </w:r>
      <w:r w:rsidR="00E67639" w:rsidRPr="00E67639">
        <w:rPr>
          <w:rFonts w:ascii="Arial" w:hAnsi="Arial"/>
          <w:color w:val="auto"/>
          <w:sz w:val="20"/>
          <w:szCs w:val="20"/>
        </w:rPr>
        <w:t>771.6</w:t>
      </w:r>
      <w:r w:rsidR="00195F81" w:rsidRPr="00E67639">
        <w:rPr>
          <w:rFonts w:ascii="Arial" w:hAnsi="Arial"/>
          <w:color w:val="auto"/>
          <w:sz w:val="20"/>
          <w:szCs w:val="20"/>
        </w:rPr>
        <w:t xml:space="preserve"> </w:t>
      </w:r>
      <w:r w:rsidR="00E67639" w:rsidRPr="00E67639">
        <w:rPr>
          <w:rFonts w:ascii="Arial" w:hAnsi="Arial"/>
          <w:color w:val="auto"/>
          <w:sz w:val="20"/>
          <w:szCs w:val="20"/>
        </w:rPr>
        <w:t xml:space="preserve">million </w:t>
      </w:r>
      <w:r w:rsidR="00195F81" w:rsidRPr="00E67639">
        <w:rPr>
          <w:rFonts w:ascii="Arial" w:hAnsi="Arial"/>
          <w:color w:val="auto"/>
          <w:sz w:val="20"/>
          <w:szCs w:val="20"/>
        </w:rPr>
        <w:t>related to the repurchase of certain exchangeable notes as well as additional debt outstanding</w:t>
      </w:r>
      <w:r w:rsidR="00195F81" w:rsidRPr="00D34391">
        <w:rPr>
          <w:rFonts w:ascii="Arial" w:hAnsi="Arial"/>
          <w:color w:val="auto"/>
          <w:sz w:val="20"/>
          <w:szCs w:val="20"/>
        </w:rPr>
        <w:t xml:space="preserve"> at higher interest rates, partially offset by lower LIBOR</w:t>
      </w:r>
      <w:r w:rsidR="00E67639">
        <w:rPr>
          <w:rFonts w:ascii="Arial" w:hAnsi="Arial"/>
          <w:color w:val="auto"/>
          <w:sz w:val="20"/>
          <w:szCs w:val="20"/>
        </w:rPr>
        <w:t>.</w:t>
      </w:r>
    </w:p>
    <w:bookmarkEnd w:id="14"/>
    <w:p w14:paraId="025695BF" w14:textId="77777777" w:rsidR="00BA2041" w:rsidRPr="001B7293" w:rsidRDefault="00BA2041" w:rsidP="00BA2041">
      <w:pPr>
        <w:spacing w:line="360" w:lineRule="auto"/>
        <w:jc w:val="both"/>
        <w:rPr>
          <w:rFonts w:ascii="Arial" w:eastAsia="Arial" w:hAnsi="Arial" w:cs="Arial"/>
          <w:color w:val="auto"/>
          <w:sz w:val="20"/>
          <w:szCs w:val="20"/>
          <w:highlight w:val="yellow"/>
        </w:rPr>
      </w:pPr>
    </w:p>
    <w:p w14:paraId="4EBB683F" w14:textId="39D1AAAB" w:rsidR="00BA2041" w:rsidRPr="001B7293" w:rsidRDefault="00BA2041" w:rsidP="00BA2041">
      <w:pPr>
        <w:spacing w:line="360" w:lineRule="auto"/>
        <w:jc w:val="both"/>
        <w:rPr>
          <w:rFonts w:ascii="Arial" w:eastAsia="Arial" w:hAnsi="Arial" w:cs="Arial"/>
          <w:color w:val="auto"/>
          <w:sz w:val="20"/>
          <w:szCs w:val="20"/>
          <w:highlight w:val="yellow"/>
        </w:rPr>
      </w:pPr>
      <w:r w:rsidRPr="00080676">
        <w:rPr>
          <w:rFonts w:ascii="Arial" w:eastAsia="Arial" w:hAnsi="Arial" w:cs="Arial"/>
          <w:color w:val="auto"/>
          <w:sz w:val="20"/>
          <w:szCs w:val="20"/>
        </w:rPr>
        <w:t>Other income (expense), net was</w:t>
      </w:r>
      <w:r w:rsidR="000169E5" w:rsidRPr="00080676">
        <w:rPr>
          <w:rFonts w:ascii="Arial" w:eastAsia="Arial" w:hAnsi="Arial" w:cs="Arial"/>
          <w:color w:val="auto"/>
          <w:sz w:val="20"/>
          <w:szCs w:val="20"/>
        </w:rPr>
        <w:t xml:space="preserve"> </w:t>
      </w:r>
      <w:r w:rsidR="009469B4" w:rsidRPr="00080676">
        <w:rPr>
          <w:rFonts w:ascii="Arial" w:eastAsia="Arial" w:hAnsi="Arial" w:cs="Arial"/>
          <w:color w:val="auto"/>
          <w:sz w:val="20"/>
          <w:szCs w:val="20"/>
        </w:rPr>
        <w:t xml:space="preserve">income </w:t>
      </w:r>
      <w:r w:rsidR="00BD5F7E" w:rsidRPr="00080676">
        <w:rPr>
          <w:rFonts w:ascii="Arial" w:eastAsia="Arial" w:hAnsi="Arial" w:cs="Arial"/>
          <w:color w:val="auto"/>
          <w:sz w:val="20"/>
          <w:szCs w:val="20"/>
        </w:rPr>
        <w:t>of</w:t>
      </w:r>
      <w:r w:rsidRPr="00080676">
        <w:rPr>
          <w:rFonts w:ascii="Arial" w:eastAsia="Arial" w:hAnsi="Arial" w:cs="Arial"/>
          <w:color w:val="auto"/>
          <w:sz w:val="20"/>
          <w:szCs w:val="20"/>
        </w:rPr>
        <w:t xml:space="preserve"> $</w:t>
      </w:r>
      <w:r w:rsidR="00195F81" w:rsidRPr="00080676">
        <w:rPr>
          <w:rFonts w:ascii="Arial" w:eastAsia="Arial" w:hAnsi="Arial" w:cs="Arial"/>
          <w:color w:val="auto"/>
          <w:sz w:val="20"/>
          <w:szCs w:val="20"/>
        </w:rPr>
        <w:t>66.5</w:t>
      </w:r>
      <w:r w:rsidRPr="00080676">
        <w:rPr>
          <w:rFonts w:ascii="Arial" w:eastAsia="Arial" w:hAnsi="Arial" w:cs="Arial"/>
          <w:color w:val="auto"/>
          <w:sz w:val="20"/>
          <w:szCs w:val="20"/>
        </w:rPr>
        <w:t xml:space="preserve"> million in 202</w:t>
      </w:r>
      <w:r w:rsidR="00F22FC2" w:rsidRPr="00080676">
        <w:rPr>
          <w:rFonts w:ascii="Arial" w:eastAsia="Arial" w:hAnsi="Arial" w:cs="Arial"/>
          <w:color w:val="auto"/>
          <w:sz w:val="20"/>
          <w:szCs w:val="20"/>
        </w:rPr>
        <w:t>1</w:t>
      </w:r>
      <w:r w:rsidRPr="00080676">
        <w:rPr>
          <w:rFonts w:ascii="Arial" w:eastAsia="Arial" w:hAnsi="Arial" w:cs="Arial"/>
          <w:color w:val="auto"/>
          <w:sz w:val="20"/>
          <w:szCs w:val="20"/>
        </w:rPr>
        <w:t xml:space="preserve"> compared to</w:t>
      </w:r>
      <w:r w:rsidR="000169E5" w:rsidRPr="00080676">
        <w:rPr>
          <w:rFonts w:ascii="Arial" w:eastAsia="Arial" w:hAnsi="Arial" w:cs="Arial"/>
          <w:color w:val="auto"/>
          <w:sz w:val="20"/>
          <w:szCs w:val="20"/>
        </w:rPr>
        <w:t xml:space="preserve"> </w:t>
      </w:r>
      <w:r w:rsidR="00D7006C" w:rsidRPr="00080676">
        <w:rPr>
          <w:rFonts w:ascii="Arial" w:eastAsia="Arial" w:hAnsi="Arial" w:cs="Arial"/>
          <w:color w:val="auto"/>
          <w:sz w:val="20"/>
          <w:szCs w:val="20"/>
        </w:rPr>
        <w:t xml:space="preserve">expense </w:t>
      </w:r>
      <w:r w:rsidR="00BD5F7E" w:rsidRPr="00080676">
        <w:rPr>
          <w:rFonts w:ascii="Arial" w:eastAsia="Arial" w:hAnsi="Arial" w:cs="Arial"/>
          <w:color w:val="auto"/>
          <w:sz w:val="20"/>
          <w:szCs w:val="20"/>
        </w:rPr>
        <w:t>of</w:t>
      </w:r>
      <w:r w:rsidRPr="00080676">
        <w:rPr>
          <w:rFonts w:ascii="Arial" w:eastAsia="Arial" w:hAnsi="Arial" w:cs="Arial"/>
          <w:color w:val="auto"/>
          <w:sz w:val="20"/>
          <w:szCs w:val="20"/>
        </w:rPr>
        <w:t xml:space="preserve"> $</w:t>
      </w:r>
      <w:r w:rsidR="00D7006C" w:rsidRPr="00080676">
        <w:rPr>
          <w:rFonts w:ascii="Arial" w:eastAsia="Arial" w:hAnsi="Arial" w:cs="Arial"/>
          <w:color w:val="auto"/>
          <w:sz w:val="20"/>
          <w:szCs w:val="20"/>
        </w:rPr>
        <w:t>(</w:t>
      </w:r>
      <w:r w:rsidR="00195F81" w:rsidRPr="00080676">
        <w:rPr>
          <w:rFonts w:ascii="Arial" w:eastAsia="Arial" w:hAnsi="Arial" w:cs="Arial"/>
          <w:color w:val="auto"/>
          <w:sz w:val="20"/>
          <w:szCs w:val="20"/>
        </w:rPr>
        <w:t>1.3</w:t>
      </w:r>
      <w:r w:rsidR="00D7006C" w:rsidRPr="00080676">
        <w:rPr>
          <w:rFonts w:ascii="Arial" w:eastAsia="Arial" w:hAnsi="Arial" w:cs="Arial"/>
          <w:color w:val="auto"/>
          <w:sz w:val="20"/>
          <w:szCs w:val="20"/>
        </w:rPr>
        <w:t xml:space="preserve">) </w:t>
      </w:r>
      <w:r w:rsidRPr="00080676">
        <w:rPr>
          <w:rFonts w:ascii="Arial" w:eastAsia="Arial" w:hAnsi="Arial" w:cs="Arial"/>
          <w:color w:val="auto"/>
          <w:sz w:val="20"/>
          <w:szCs w:val="20"/>
        </w:rPr>
        <w:t>million in 20</w:t>
      </w:r>
      <w:r w:rsidR="00F22FC2" w:rsidRPr="00080676">
        <w:rPr>
          <w:rFonts w:ascii="Arial" w:eastAsia="Arial" w:hAnsi="Arial" w:cs="Arial"/>
          <w:color w:val="auto"/>
          <w:sz w:val="20"/>
          <w:szCs w:val="20"/>
        </w:rPr>
        <w:t>20</w:t>
      </w:r>
      <w:r w:rsidRPr="00AD7182">
        <w:rPr>
          <w:rFonts w:ascii="Arial" w:eastAsia="Arial" w:hAnsi="Arial" w:cs="Arial"/>
          <w:color w:val="auto"/>
          <w:sz w:val="20"/>
          <w:szCs w:val="20"/>
        </w:rPr>
        <w:t>.</w:t>
      </w:r>
      <w:r w:rsidR="002C059F" w:rsidRPr="00AD7182">
        <w:rPr>
          <w:rFonts w:ascii="Arial" w:eastAsia="Arial" w:hAnsi="Arial" w:cs="Arial"/>
          <w:color w:val="auto"/>
          <w:sz w:val="20"/>
          <w:szCs w:val="20"/>
        </w:rPr>
        <w:t xml:space="preserve"> </w:t>
      </w:r>
      <w:r w:rsidR="00AD7182" w:rsidRPr="00AD7182">
        <w:rPr>
          <w:rFonts w:ascii="Arial" w:eastAsia="Arial" w:hAnsi="Arial" w:cs="Arial"/>
          <w:color w:val="auto"/>
          <w:sz w:val="20"/>
          <w:szCs w:val="20"/>
        </w:rPr>
        <w:t>In 2021, the</w:t>
      </w:r>
      <w:r w:rsidR="00AD7182" w:rsidRPr="00455119">
        <w:rPr>
          <w:rFonts w:ascii="Arial" w:eastAsia="Arial" w:hAnsi="Arial" w:cs="Arial"/>
          <w:color w:val="auto"/>
          <w:sz w:val="20"/>
          <w:szCs w:val="20"/>
        </w:rPr>
        <w:t xml:space="preserve"> income primarily related to gains from derivatives not designated as hedges and foreign currency exchange</w:t>
      </w:r>
      <w:r w:rsidR="00E67639">
        <w:rPr>
          <w:rFonts w:ascii="Arial" w:eastAsia="Arial" w:hAnsi="Arial" w:cs="Arial"/>
          <w:color w:val="auto"/>
          <w:sz w:val="20"/>
          <w:szCs w:val="20"/>
        </w:rPr>
        <w:t>.</w:t>
      </w:r>
      <w:r w:rsidR="00AD7182" w:rsidRPr="001B7293" w:rsidDel="00AD7182">
        <w:rPr>
          <w:rFonts w:ascii="Arial" w:eastAsia="Arial" w:hAnsi="Arial" w:cs="Arial"/>
          <w:color w:val="auto"/>
          <w:sz w:val="20"/>
          <w:szCs w:val="20"/>
          <w:highlight w:val="yellow"/>
        </w:rPr>
        <w:t xml:space="preserve"> </w:t>
      </w:r>
    </w:p>
    <w:p w14:paraId="3E504675" w14:textId="5F2D986F" w:rsidR="00163FE8" w:rsidRPr="0020114E" w:rsidRDefault="00163FE8">
      <w:pPr>
        <w:spacing w:line="360" w:lineRule="auto"/>
        <w:jc w:val="both"/>
        <w:rPr>
          <w:rFonts w:ascii="Arial" w:hAnsi="Arial"/>
          <w:b/>
          <w:bCs/>
          <w:sz w:val="20"/>
          <w:szCs w:val="20"/>
          <w:highlight w:val="yellow"/>
          <w:u w:val="single"/>
        </w:rPr>
      </w:pPr>
    </w:p>
    <w:p w14:paraId="0BC8F143" w14:textId="3D76C450" w:rsidR="00283D42" w:rsidRPr="006871E5" w:rsidRDefault="00372B86">
      <w:pPr>
        <w:spacing w:line="360" w:lineRule="auto"/>
        <w:jc w:val="both"/>
        <w:rPr>
          <w:rFonts w:ascii="Arial" w:eastAsia="Arial" w:hAnsi="Arial" w:cs="Arial"/>
          <w:b/>
          <w:bCs/>
          <w:sz w:val="20"/>
          <w:szCs w:val="20"/>
          <w:u w:val="single"/>
        </w:rPr>
      </w:pPr>
      <w:r w:rsidRPr="006871E5">
        <w:rPr>
          <w:rFonts w:ascii="Arial" w:hAnsi="Arial"/>
          <w:b/>
          <w:bCs/>
          <w:sz w:val="20"/>
          <w:szCs w:val="20"/>
          <w:u w:val="single"/>
        </w:rPr>
        <w:t>Outlook</w:t>
      </w:r>
      <w:r w:rsidR="000016F8" w:rsidRPr="006871E5">
        <w:rPr>
          <w:rFonts w:ascii="Arial" w:hAnsi="Arial"/>
          <w:b/>
          <w:bCs/>
          <w:sz w:val="20"/>
          <w:szCs w:val="20"/>
        </w:rPr>
        <w:t xml:space="preserve"> </w:t>
      </w:r>
    </w:p>
    <w:p w14:paraId="4AA660D2" w14:textId="3152DD2B" w:rsidR="001A5210" w:rsidRDefault="001B7293" w:rsidP="006871E5">
      <w:pPr>
        <w:pStyle w:val="Sinespaciado"/>
        <w:spacing w:line="360" w:lineRule="auto"/>
        <w:jc w:val="both"/>
        <w:rPr>
          <w:rFonts w:ascii="Arial" w:hAnsi="Arial"/>
          <w:sz w:val="20"/>
          <w:szCs w:val="20"/>
        </w:rPr>
      </w:pPr>
      <w:bookmarkStart w:id="15" w:name="_Hlk86650134"/>
      <w:bookmarkStart w:id="16" w:name="_Hlk40284622"/>
      <w:bookmarkStart w:id="17" w:name="_Hlk1381991"/>
      <w:r w:rsidRPr="00646E2A">
        <w:rPr>
          <w:rFonts w:ascii="Arial" w:eastAsia="Arial Unicode MS" w:hAnsi="Arial" w:cs="Arial Unicode MS"/>
          <w:color w:val="000000"/>
          <w:sz w:val="20"/>
          <w:szCs w:val="20"/>
          <w:bdr w:val="nil"/>
        </w:rPr>
        <w:t xml:space="preserve">As a result of the COVID-19 pandemic, while the Company cannot estimate the impact on its business, financial condition or near- or longer-term financial or operational results with certainty, it will report a net loss for the </w:t>
      </w:r>
      <w:r>
        <w:rPr>
          <w:rFonts w:ascii="Arial" w:eastAsia="Arial Unicode MS" w:hAnsi="Arial" w:cs="Arial Unicode MS"/>
          <w:color w:val="000000"/>
          <w:sz w:val="20"/>
          <w:szCs w:val="20"/>
          <w:bdr w:val="nil"/>
        </w:rPr>
        <w:t>first</w:t>
      </w:r>
      <w:r w:rsidRPr="00646E2A">
        <w:rPr>
          <w:rFonts w:ascii="Arial" w:eastAsia="Arial Unicode MS" w:hAnsi="Arial" w:cs="Arial Unicode MS"/>
          <w:color w:val="000000"/>
          <w:sz w:val="20"/>
          <w:szCs w:val="20"/>
          <w:bdr w:val="nil"/>
        </w:rPr>
        <w:t xml:space="preserve"> </w:t>
      </w:r>
      <w:r w:rsidRPr="00646E2A">
        <w:rPr>
          <w:rFonts w:ascii="Arial" w:eastAsia="Arial" w:hAnsi="Arial" w:cs="Arial"/>
          <w:color w:val="000000"/>
          <w:sz w:val="20"/>
          <w:szCs w:val="20"/>
        </w:rPr>
        <w:t xml:space="preserve">quarter </w:t>
      </w:r>
      <w:r w:rsidR="00E43FD2">
        <w:rPr>
          <w:rFonts w:ascii="Arial" w:eastAsia="Arial" w:hAnsi="Arial" w:cs="Arial"/>
          <w:color w:val="000000"/>
          <w:sz w:val="20"/>
          <w:szCs w:val="20"/>
        </w:rPr>
        <w:t>of</w:t>
      </w:r>
      <w:r w:rsidRPr="00646E2A">
        <w:rPr>
          <w:rFonts w:ascii="Arial" w:eastAsia="Arial Unicode MS" w:hAnsi="Arial" w:cs="Arial Unicode MS"/>
          <w:color w:val="000000"/>
          <w:sz w:val="20"/>
          <w:szCs w:val="20"/>
          <w:bdr w:val="nil"/>
        </w:rPr>
        <w:t xml:space="preserve"> 202</w:t>
      </w:r>
      <w:r>
        <w:rPr>
          <w:rFonts w:ascii="Arial" w:eastAsia="Arial Unicode MS" w:hAnsi="Arial" w:cs="Arial Unicode MS"/>
          <w:color w:val="000000"/>
          <w:sz w:val="20"/>
          <w:szCs w:val="20"/>
          <w:bdr w:val="nil"/>
        </w:rPr>
        <w:t>2</w:t>
      </w:r>
      <w:r w:rsidRPr="00646E2A">
        <w:rPr>
          <w:rFonts w:ascii="Arial" w:eastAsia="Arial Unicode MS" w:hAnsi="Arial" w:cs="Arial Unicode MS"/>
          <w:color w:val="000000"/>
          <w:sz w:val="20"/>
          <w:szCs w:val="20"/>
          <w:bdr w:val="nil"/>
        </w:rPr>
        <w:t xml:space="preserve"> and expects to report a net loss until the Company is able to resume regular voyages. As previously stated, based on its current trajectory and market and public health conditions, the Company expects to </w:t>
      </w:r>
      <w:r>
        <w:rPr>
          <w:rFonts w:ascii="Arial" w:eastAsia="Arial Unicode MS" w:hAnsi="Arial" w:cs="Arial Unicode MS"/>
          <w:color w:val="000000"/>
          <w:sz w:val="20"/>
          <w:szCs w:val="20"/>
          <w:bdr w:val="nil"/>
        </w:rPr>
        <w:t>have positive Adjusted Net Income</w:t>
      </w:r>
      <w:r w:rsidRPr="00646E2A">
        <w:rPr>
          <w:rFonts w:ascii="Arial" w:eastAsia="Arial Unicode MS" w:hAnsi="Arial" w:cs="Arial Unicode MS"/>
          <w:color w:val="000000"/>
          <w:sz w:val="20"/>
          <w:szCs w:val="20"/>
          <w:bdr w:val="nil"/>
        </w:rPr>
        <w:t xml:space="preserve"> for the second half of 2022.</w:t>
      </w:r>
      <w:r w:rsidR="005732AA">
        <w:rPr>
          <w:rFonts w:ascii="Arial" w:eastAsia="Arial Unicode MS" w:hAnsi="Arial" w:cs="Arial Unicode MS"/>
          <w:color w:val="000000"/>
          <w:sz w:val="20"/>
          <w:szCs w:val="20"/>
          <w:bdr w:val="nil"/>
        </w:rPr>
        <w:t xml:space="preserve"> </w:t>
      </w:r>
      <w:r w:rsidR="005732AA" w:rsidRPr="005732AA">
        <w:rPr>
          <w:rFonts w:ascii="Arial" w:eastAsia="Arial Unicode MS" w:hAnsi="Arial" w:cs="Arial Unicode MS"/>
          <w:color w:val="000000"/>
          <w:sz w:val="20"/>
          <w:szCs w:val="20"/>
          <w:bdr w:val="nil"/>
        </w:rPr>
        <w:t>The Company does not provide estimated future results on a GAAP basis because the Company is unable to predict, with reasonable certainty, the future movement of foreign exchange rates or the future impact of certain gains and charges. These items are uncertain and will depend on several factors, including industry conditions, and could be material to the Company’s results computed in accordance with GAAP.</w:t>
      </w:r>
    </w:p>
    <w:p w14:paraId="2BF67C45" w14:textId="77777777" w:rsidR="001A5210" w:rsidRDefault="001A5210" w:rsidP="001A5210">
      <w:pPr>
        <w:widowControl w:val="0"/>
        <w:jc w:val="both"/>
        <w:rPr>
          <w:rFonts w:ascii="Arial" w:eastAsia="Arial" w:hAnsi="Arial" w:cs="Arial"/>
          <w:sz w:val="20"/>
          <w:szCs w:val="20"/>
        </w:rPr>
      </w:pPr>
      <w:bookmarkStart w:id="18" w:name="_Hlk32932186"/>
      <w:bookmarkStart w:id="19" w:name="_Hlk8054563"/>
      <w:bookmarkStart w:id="20" w:name="_Hlk15464565"/>
      <w:bookmarkStart w:id="21" w:name="_Hlk8054172"/>
    </w:p>
    <w:bookmarkEnd w:id="15"/>
    <w:bookmarkEnd w:id="18"/>
    <w:bookmarkEnd w:id="19"/>
    <w:bookmarkEnd w:id="20"/>
    <w:bookmarkEnd w:id="21"/>
    <w:p w14:paraId="0A7933A6" w14:textId="77777777" w:rsidR="00D24BF6" w:rsidRPr="009D1FD5" w:rsidRDefault="00D24BF6" w:rsidP="006871E5">
      <w:pPr>
        <w:spacing w:line="360" w:lineRule="auto"/>
        <w:jc w:val="both"/>
        <w:rPr>
          <w:rFonts w:ascii="Arial" w:eastAsia="Arial" w:hAnsi="Arial" w:cs="Arial"/>
          <w:sz w:val="20"/>
          <w:szCs w:val="20"/>
        </w:rPr>
      </w:pPr>
      <w:r w:rsidRPr="009D1FD5">
        <w:rPr>
          <w:rFonts w:ascii="Arial" w:hAnsi="Arial"/>
          <w:sz w:val="20"/>
          <w:szCs w:val="20"/>
        </w:rPr>
        <w:t xml:space="preserve">The following reflects the Company’s expectations regarding fuel consumption and pricing, along with accompanying sensitivities. </w:t>
      </w:r>
    </w:p>
    <w:tbl>
      <w:tblPr>
        <w:tblW w:w="5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236"/>
        <w:gridCol w:w="236"/>
        <w:gridCol w:w="1872"/>
      </w:tblGrid>
      <w:tr w:rsidR="000255D8" w:rsidRPr="009D1FD5" w14:paraId="2ED68AD0" w14:textId="16032629" w:rsidTr="000255D8">
        <w:trPr>
          <w:trHeight w:val="195"/>
        </w:trPr>
        <w:tc>
          <w:tcPr>
            <w:tcW w:w="3168" w:type="dxa"/>
            <w:tcBorders>
              <w:top w:val="nil"/>
              <w:left w:val="nil"/>
              <w:bottom w:val="nil"/>
              <w:right w:val="nil"/>
            </w:tcBorders>
            <w:shd w:val="clear" w:color="auto" w:fill="auto"/>
            <w:tcMar>
              <w:top w:w="80" w:type="dxa"/>
              <w:left w:w="80" w:type="dxa"/>
              <w:bottom w:w="80" w:type="dxa"/>
              <w:right w:w="80" w:type="dxa"/>
            </w:tcMar>
            <w:vAlign w:val="center"/>
          </w:tcPr>
          <w:p w14:paraId="66BF0BB8" w14:textId="77777777" w:rsidR="000255D8" w:rsidRPr="009D1FD5" w:rsidRDefault="000255D8" w:rsidP="00D24BF6"/>
        </w:tc>
        <w:tc>
          <w:tcPr>
            <w:tcW w:w="236" w:type="dxa"/>
            <w:tcBorders>
              <w:top w:val="nil"/>
              <w:left w:val="nil"/>
              <w:bottom w:val="nil"/>
              <w:right w:val="nil"/>
            </w:tcBorders>
            <w:shd w:val="clear" w:color="auto" w:fill="auto"/>
            <w:tcMar>
              <w:top w:w="80" w:type="dxa"/>
              <w:left w:w="80" w:type="dxa"/>
              <w:bottom w:w="80" w:type="dxa"/>
              <w:right w:w="80" w:type="dxa"/>
            </w:tcMar>
            <w:vAlign w:val="center"/>
          </w:tcPr>
          <w:p w14:paraId="669517E1" w14:textId="77777777" w:rsidR="000255D8" w:rsidRPr="009D1FD5" w:rsidRDefault="000255D8" w:rsidP="00D24BF6"/>
        </w:tc>
        <w:tc>
          <w:tcPr>
            <w:tcW w:w="236" w:type="dxa"/>
            <w:tcBorders>
              <w:top w:val="nil"/>
              <w:left w:val="nil"/>
              <w:bottom w:val="nil"/>
              <w:right w:val="nil"/>
            </w:tcBorders>
            <w:vAlign w:val="center"/>
          </w:tcPr>
          <w:p w14:paraId="11DBB9DB" w14:textId="77777777" w:rsidR="000255D8" w:rsidRPr="009D1FD5" w:rsidRDefault="000255D8" w:rsidP="00D24BF6"/>
        </w:tc>
        <w:tc>
          <w:tcPr>
            <w:tcW w:w="1872" w:type="dxa"/>
            <w:tcBorders>
              <w:top w:val="nil"/>
              <w:left w:val="nil"/>
              <w:bottom w:val="single" w:sz="4" w:space="0" w:color="000000"/>
              <w:right w:val="nil"/>
            </w:tcBorders>
            <w:vAlign w:val="center"/>
          </w:tcPr>
          <w:p w14:paraId="3575BA8F" w14:textId="4644A878" w:rsidR="000255D8" w:rsidRPr="009D1FD5" w:rsidRDefault="000255D8" w:rsidP="00D24BF6">
            <w:pPr>
              <w:jc w:val="center"/>
              <w:rPr>
                <w:rFonts w:ascii="Arial" w:hAnsi="Arial"/>
                <w:sz w:val="16"/>
                <w:szCs w:val="16"/>
              </w:rPr>
            </w:pPr>
            <w:r w:rsidRPr="009D1FD5">
              <w:rPr>
                <w:rFonts w:ascii="Arial" w:hAnsi="Arial"/>
                <w:sz w:val="16"/>
                <w:szCs w:val="16"/>
              </w:rPr>
              <w:t>Full Year 2022</w:t>
            </w:r>
          </w:p>
        </w:tc>
      </w:tr>
      <w:tr w:rsidR="000255D8" w:rsidRPr="009D1FD5" w14:paraId="5FBEE8D8" w14:textId="0082DC0A" w:rsidTr="000255D8">
        <w:trPr>
          <w:trHeight w:val="267"/>
        </w:trPr>
        <w:tc>
          <w:tcPr>
            <w:tcW w:w="3168" w:type="dxa"/>
            <w:tcBorders>
              <w:top w:val="nil"/>
              <w:left w:val="nil"/>
              <w:bottom w:val="nil"/>
              <w:right w:val="nil"/>
            </w:tcBorders>
            <w:shd w:val="clear" w:color="auto" w:fill="auto"/>
            <w:tcMar>
              <w:top w:w="80" w:type="dxa"/>
              <w:left w:w="80" w:type="dxa"/>
              <w:bottom w:w="80" w:type="dxa"/>
              <w:right w:w="80" w:type="dxa"/>
            </w:tcMar>
            <w:vAlign w:val="center"/>
          </w:tcPr>
          <w:p w14:paraId="779817F7" w14:textId="77777777" w:rsidR="000255D8" w:rsidRPr="009D1FD5" w:rsidRDefault="000255D8" w:rsidP="00D24BF6">
            <w:r w:rsidRPr="009D1FD5">
              <w:rPr>
                <w:rFonts w:ascii="Arial" w:hAnsi="Arial"/>
                <w:sz w:val="16"/>
                <w:szCs w:val="16"/>
              </w:rPr>
              <w:t>Fuel consumption in metric tons</w:t>
            </w:r>
          </w:p>
        </w:tc>
        <w:tc>
          <w:tcPr>
            <w:tcW w:w="236" w:type="dxa"/>
            <w:tcBorders>
              <w:top w:val="nil"/>
              <w:left w:val="nil"/>
              <w:bottom w:val="nil"/>
              <w:right w:val="nil"/>
            </w:tcBorders>
            <w:shd w:val="clear" w:color="auto" w:fill="auto"/>
            <w:tcMar>
              <w:top w:w="80" w:type="dxa"/>
              <w:left w:w="80" w:type="dxa"/>
              <w:bottom w:w="80" w:type="dxa"/>
              <w:right w:w="80" w:type="dxa"/>
            </w:tcMar>
            <w:vAlign w:val="center"/>
          </w:tcPr>
          <w:p w14:paraId="3F4B8E74" w14:textId="77777777" w:rsidR="000255D8" w:rsidRPr="009D1FD5" w:rsidRDefault="000255D8" w:rsidP="00D24BF6">
            <w:pPr>
              <w:rPr>
                <w:rFonts w:ascii="Arial" w:hAnsi="Arial" w:cs="Arial"/>
                <w:sz w:val="16"/>
                <w:szCs w:val="16"/>
              </w:rPr>
            </w:pPr>
          </w:p>
        </w:tc>
        <w:tc>
          <w:tcPr>
            <w:tcW w:w="236" w:type="dxa"/>
            <w:tcBorders>
              <w:top w:val="nil"/>
              <w:left w:val="nil"/>
              <w:bottom w:val="nil"/>
              <w:right w:val="nil"/>
            </w:tcBorders>
            <w:vAlign w:val="center"/>
          </w:tcPr>
          <w:p w14:paraId="3740282D" w14:textId="77777777" w:rsidR="000255D8" w:rsidRPr="009D1FD5" w:rsidRDefault="000255D8" w:rsidP="00D24BF6">
            <w:pPr>
              <w:rPr>
                <w:rFonts w:ascii="Arial" w:hAnsi="Arial" w:cs="Arial"/>
                <w:sz w:val="16"/>
                <w:szCs w:val="16"/>
              </w:rPr>
            </w:pPr>
          </w:p>
        </w:tc>
        <w:tc>
          <w:tcPr>
            <w:tcW w:w="1872" w:type="dxa"/>
            <w:tcBorders>
              <w:top w:val="single" w:sz="4" w:space="0" w:color="000000"/>
              <w:left w:val="nil"/>
              <w:bottom w:val="nil"/>
              <w:right w:val="nil"/>
            </w:tcBorders>
            <w:vAlign w:val="center"/>
          </w:tcPr>
          <w:p w14:paraId="33521733" w14:textId="5F921451" w:rsidR="000255D8" w:rsidRPr="009D1FD5" w:rsidRDefault="00543F6A" w:rsidP="00D24BF6">
            <w:pPr>
              <w:jc w:val="center"/>
              <w:rPr>
                <w:rFonts w:ascii="Arial" w:hAnsi="Arial" w:cs="Arial"/>
                <w:sz w:val="16"/>
                <w:szCs w:val="16"/>
              </w:rPr>
            </w:pPr>
            <w:r w:rsidRPr="009D1FD5">
              <w:rPr>
                <w:rFonts w:ascii="Arial" w:hAnsi="Arial" w:cs="Arial"/>
                <w:sz w:val="16"/>
                <w:szCs w:val="16"/>
              </w:rPr>
              <w:t>900,000</w:t>
            </w:r>
          </w:p>
        </w:tc>
      </w:tr>
      <w:tr w:rsidR="000255D8" w:rsidRPr="009D1FD5" w14:paraId="3ED8D076" w14:textId="6F50BE17" w:rsidTr="000255D8">
        <w:trPr>
          <w:trHeight w:val="257"/>
        </w:trPr>
        <w:tc>
          <w:tcPr>
            <w:tcW w:w="3168" w:type="dxa"/>
            <w:tcBorders>
              <w:top w:val="nil"/>
              <w:left w:val="nil"/>
              <w:bottom w:val="nil"/>
              <w:right w:val="nil"/>
            </w:tcBorders>
            <w:shd w:val="clear" w:color="auto" w:fill="auto"/>
            <w:tcMar>
              <w:top w:w="80" w:type="dxa"/>
              <w:left w:w="80" w:type="dxa"/>
              <w:bottom w:w="80" w:type="dxa"/>
              <w:right w:w="80" w:type="dxa"/>
            </w:tcMar>
            <w:vAlign w:val="center"/>
          </w:tcPr>
          <w:p w14:paraId="39F787E0" w14:textId="77777777" w:rsidR="000255D8" w:rsidRPr="009D1FD5" w:rsidRDefault="000255D8" w:rsidP="00D24BF6">
            <w:r w:rsidRPr="009D1FD5">
              <w:rPr>
                <w:rFonts w:ascii="Arial" w:hAnsi="Arial"/>
                <w:sz w:val="16"/>
                <w:szCs w:val="16"/>
              </w:rPr>
              <w:t>Fuel price per metric ton, net of hedges</w:t>
            </w:r>
          </w:p>
        </w:tc>
        <w:tc>
          <w:tcPr>
            <w:tcW w:w="236" w:type="dxa"/>
            <w:tcBorders>
              <w:top w:val="nil"/>
              <w:left w:val="nil"/>
              <w:bottom w:val="nil"/>
              <w:right w:val="nil"/>
            </w:tcBorders>
            <w:shd w:val="clear" w:color="auto" w:fill="auto"/>
            <w:tcMar>
              <w:top w:w="80" w:type="dxa"/>
              <w:left w:w="80" w:type="dxa"/>
              <w:bottom w:w="80" w:type="dxa"/>
              <w:right w:w="80" w:type="dxa"/>
            </w:tcMar>
            <w:vAlign w:val="center"/>
          </w:tcPr>
          <w:p w14:paraId="5A9B64DB" w14:textId="77777777" w:rsidR="000255D8" w:rsidRPr="009D1FD5" w:rsidRDefault="000255D8" w:rsidP="00D24BF6">
            <w:pPr>
              <w:rPr>
                <w:rFonts w:ascii="Arial" w:hAnsi="Arial" w:cs="Arial"/>
                <w:sz w:val="16"/>
                <w:szCs w:val="16"/>
              </w:rPr>
            </w:pPr>
          </w:p>
        </w:tc>
        <w:tc>
          <w:tcPr>
            <w:tcW w:w="236" w:type="dxa"/>
            <w:tcBorders>
              <w:top w:val="nil"/>
              <w:left w:val="nil"/>
              <w:bottom w:val="nil"/>
              <w:right w:val="nil"/>
            </w:tcBorders>
            <w:vAlign w:val="center"/>
          </w:tcPr>
          <w:p w14:paraId="07996BE6" w14:textId="77777777" w:rsidR="000255D8" w:rsidRPr="009D1FD5" w:rsidRDefault="000255D8" w:rsidP="00D24BF6">
            <w:pPr>
              <w:rPr>
                <w:rFonts w:ascii="Arial" w:hAnsi="Arial" w:cs="Arial"/>
                <w:sz w:val="16"/>
                <w:szCs w:val="16"/>
              </w:rPr>
            </w:pPr>
          </w:p>
        </w:tc>
        <w:tc>
          <w:tcPr>
            <w:tcW w:w="1872" w:type="dxa"/>
            <w:tcBorders>
              <w:top w:val="nil"/>
              <w:left w:val="nil"/>
              <w:bottom w:val="nil"/>
              <w:right w:val="nil"/>
            </w:tcBorders>
            <w:vAlign w:val="center"/>
          </w:tcPr>
          <w:p w14:paraId="23CD0DA1" w14:textId="52FB89D2" w:rsidR="000255D8" w:rsidRPr="009D1FD5" w:rsidRDefault="00543F6A" w:rsidP="00D24BF6">
            <w:pPr>
              <w:jc w:val="center"/>
              <w:rPr>
                <w:rFonts w:ascii="Arial" w:hAnsi="Arial" w:cs="Arial"/>
                <w:sz w:val="16"/>
                <w:szCs w:val="16"/>
              </w:rPr>
            </w:pPr>
            <w:r w:rsidRPr="009D1FD5">
              <w:rPr>
                <w:rFonts w:ascii="Arial" w:hAnsi="Arial" w:cs="Arial"/>
                <w:sz w:val="16"/>
                <w:szCs w:val="16"/>
              </w:rPr>
              <w:t>$</w:t>
            </w:r>
            <w:r w:rsidR="00AD7182">
              <w:rPr>
                <w:rFonts w:ascii="Arial" w:hAnsi="Arial" w:cs="Arial"/>
                <w:sz w:val="16"/>
                <w:szCs w:val="16"/>
              </w:rPr>
              <w:t>675</w:t>
            </w:r>
          </w:p>
        </w:tc>
      </w:tr>
      <w:tr w:rsidR="000255D8" w:rsidRPr="0020114E" w14:paraId="6B838F44" w14:textId="0C90A060" w:rsidTr="000255D8">
        <w:trPr>
          <w:trHeight w:val="451"/>
        </w:trPr>
        <w:tc>
          <w:tcPr>
            <w:tcW w:w="3168" w:type="dxa"/>
            <w:tcBorders>
              <w:top w:val="nil"/>
              <w:left w:val="nil"/>
              <w:bottom w:val="nil"/>
              <w:right w:val="nil"/>
            </w:tcBorders>
            <w:shd w:val="clear" w:color="auto" w:fill="auto"/>
            <w:tcMar>
              <w:top w:w="80" w:type="dxa"/>
              <w:left w:w="80" w:type="dxa"/>
              <w:bottom w:w="80" w:type="dxa"/>
              <w:right w:w="80" w:type="dxa"/>
            </w:tcMar>
            <w:vAlign w:val="center"/>
          </w:tcPr>
          <w:p w14:paraId="1EC227B2" w14:textId="77777777" w:rsidR="000255D8" w:rsidRPr="009D1FD5" w:rsidRDefault="000255D8" w:rsidP="00D24BF6">
            <w:r w:rsidRPr="009D1FD5">
              <w:rPr>
                <w:rFonts w:ascii="Arial" w:hAnsi="Arial"/>
                <w:sz w:val="16"/>
                <w:szCs w:val="16"/>
              </w:rPr>
              <w:t>Effect on Adjusted EPS of a 10% change</w:t>
            </w:r>
            <w:r w:rsidRPr="009D1FD5">
              <w:rPr>
                <w:rFonts w:ascii="Arial Unicode MS" w:hAnsi="Arial Unicode MS"/>
                <w:sz w:val="16"/>
                <w:szCs w:val="16"/>
              </w:rPr>
              <w:br/>
            </w:r>
            <w:r w:rsidRPr="009D1FD5">
              <w:rPr>
                <w:rFonts w:ascii="Arial" w:hAnsi="Arial"/>
                <w:sz w:val="16"/>
                <w:szCs w:val="16"/>
              </w:rPr>
              <w:t xml:space="preserve">in fuel prices, net of hedges </w:t>
            </w:r>
          </w:p>
        </w:tc>
        <w:tc>
          <w:tcPr>
            <w:tcW w:w="236" w:type="dxa"/>
            <w:tcBorders>
              <w:top w:val="nil"/>
              <w:left w:val="nil"/>
              <w:bottom w:val="nil"/>
              <w:right w:val="nil"/>
            </w:tcBorders>
            <w:shd w:val="clear" w:color="auto" w:fill="auto"/>
            <w:tcMar>
              <w:top w:w="80" w:type="dxa"/>
              <w:left w:w="80" w:type="dxa"/>
              <w:bottom w:w="80" w:type="dxa"/>
              <w:right w:w="80" w:type="dxa"/>
            </w:tcMar>
            <w:vAlign w:val="center"/>
          </w:tcPr>
          <w:p w14:paraId="67854E1E" w14:textId="77777777" w:rsidR="000255D8" w:rsidRPr="009D1FD5" w:rsidRDefault="000255D8" w:rsidP="00D24BF6">
            <w:pPr>
              <w:rPr>
                <w:rFonts w:ascii="Arial" w:hAnsi="Arial" w:cs="Arial"/>
                <w:sz w:val="16"/>
                <w:szCs w:val="16"/>
              </w:rPr>
            </w:pPr>
          </w:p>
        </w:tc>
        <w:tc>
          <w:tcPr>
            <w:tcW w:w="236" w:type="dxa"/>
            <w:tcBorders>
              <w:top w:val="nil"/>
              <w:left w:val="nil"/>
              <w:bottom w:val="nil"/>
              <w:right w:val="nil"/>
            </w:tcBorders>
            <w:vAlign w:val="center"/>
          </w:tcPr>
          <w:p w14:paraId="23652FE9" w14:textId="77777777" w:rsidR="000255D8" w:rsidRPr="009D1FD5" w:rsidRDefault="000255D8" w:rsidP="00D24BF6">
            <w:pPr>
              <w:rPr>
                <w:rFonts w:ascii="Arial" w:hAnsi="Arial" w:cs="Arial"/>
                <w:sz w:val="16"/>
                <w:szCs w:val="16"/>
              </w:rPr>
            </w:pPr>
          </w:p>
        </w:tc>
        <w:tc>
          <w:tcPr>
            <w:tcW w:w="1872" w:type="dxa"/>
            <w:tcBorders>
              <w:top w:val="nil"/>
              <w:left w:val="nil"/>
              <w:bottom w:val="nil"/>
              <w:right w:val="nil"/>
            </w:tcBorders>
            <w:vAlign w:val="center"/>
          </w:tcPr>
          <w:p w14:paraId="7BEBB77C" w14:textId="085C4323" w:rsidR="000255D8" w:rsidRPr="009D1FD5" w:rsidRDefault="00543F6A" w:rsidP="00D24BF6">
            <w:pPr>
              <w:jc w:val="center"/>
              <w:rPr>
                <w:rFonts w:ascii="Arial" w:hAnsi="Arial" w:cs="Arial"/>
                <w:sz w:val="16"/>
                <w:szCs w:val="16"/>
              </w:rPr>
            </w:pPr>
            <w:r w:rsidRPr="009D1FD5">
              <w:rPr>
                <w:rFonts w:ascii="Arial" w:hAnsi="Arial" w:cs="Arial"/>
                <w:sz w:val="16"/>
                <w:szCs w:val="16"/>
              </w:rPr>
              <w:t>$0.07</w:t>
            </w:r>
          </w:p>
        </w:tc>
      </w:tr>
      <w:bookmarkEnd w:id="16"/>
      <w:bookmarkEnd w:id="17"/>
    </w:tbl>
    <w:p w14:paraId="23E49DFD" w14:textId="77777777" w:rsidR="00D24BF6" w:rsidRPr="0020114E" w:rsidRDefault="00D24BF6">
      <w:pPr>
        <w:spacing w:line="360" w:lineRule="auto"/>
        <w:jc w:val="both"/>
        <w:rPr>
          <w:rFonts w:ascii="Arial" w:hAnsi="Arial"/>
          <w:sz w:val="20"/>
          <w:szCs w:val="20"/>
          <w:highlight w:val="yellow"/>
        </w:rPr>
      </w:pPr>
    </w:p>
    <w:p w14:paraId="5441F1BD" w14:textId="4E8408A7" w:rsidR="007743CC" w:rsidRPr="00DD407D" w:rsidRDefault="00B0580E">
      <w:pPr>
        <w:spacing w:line="360" w:lineRule="auto"/>
        <w:jc w:val="both"/>
        <w:rPr>
          <w:rFonts w:ascii="Arial" w:hAnsi="Arial"/>
          <w:sz w:val="20"/>
          <w:szCs w:val="20"/>
        </w:rPr>
      </w:pPr>
      <w:r w:rsidRPr="009D1FD5">
        <w:rPr>
          <w:rFonts w:ascii="Arial" w:hAnsi="Arial"/>
          <w:sz w:val="20"/>
          <w:szCs w:val="20"/>
        </w:rPr>
        <w:t xml:space="preserve">As of </w:t>
      </w:r>
      <w:r w:rsidR="00DD407D" w:rsidRPr="009D1FD5">
        <w:rPr>
          <w:rFonts w:ascii="Arial" w:hAnsi="Arial"/>
          <w:sz w:val="20"/>
          <w:szCs w:val="20"/>
        </w:rPr>
        <w:t xml:space="preserve">December </w:t>
      </w:r>
      <w:r w:rsidRPr="009D1FD5">
        <w:rPr>
          <w:rFonts w:ascii="Arial" w:hAnsi="Arial"/>
          <w:sz w:val="20"/>
          <w:szCs w:val="20"/>
        </w:rPr>
        <w:t>3</w:t>
      </w:r>
      <w:r w:rsidR="00DD407D" w:rsidRPr="009D1FD5">
        <w:rPr>
          <w:rFonts w:ascii="Arial" w:hAnsi="Arial"/>
          <w:sz w:val="20"/>
          <w:szCs w:val="20"/>
        </w:rPr>
        <w:t>1</w:t>
      </w:r>
      <w:r w:rsidRPr="009D1FD5">
        <w:rPr>
          <w:rFonts w:ascii="Arial" w:hAnsi="Arial"/>
          <w:sz w:val="20"/>
          <w:szCs w:val="20"/>
        </w:rPr>
        <w:t>, 202</w:t>
      </w:r>
      <w:r w:rsidR="00572F51" w:rsidRPr="009D1FD5">
        <w:rPr>
          <w:rFonts w:ascii="Arial" w:hAnsi="Arial"/>
          <w:sz w:val="20"/>
          <w:szCs w:val="20"/>
        </w:rPr>
        <w:t>1</w:t>
      </w:r>
      <w:r w:rsidRPr="009D1FD5">
        <w:rPr>
          <w:rFonts w:ascii="Arial" w:hAnsi="Arial"/>
          <w:sz w:val="20"/>
          <w:szCs w:val="20"/>
        </w:rPr>
        <w:t xml:space="preserve">, the Company had hedged approximately </w:t>
      </w:r>
      <w:r w:rsidR="00543F6A" w:rsidRPr="009D1FD5">
        <w:rPr>
          <w:rFonts w:ascii="Arial" w:hAnsi="Arial"/>
          <w:sz w:val="20"/>
          <w:szCs w:val="20"/>
        </w:rPr>
        <w:t>42%</w:t>
      </w:r>
      <w:r w:rsidR="009D1FD5">
        <w:rPr>
          <w:rFonts w:ascii="Arial" w:hAnsi="Arial"/>
          <w:sz w:val="20"/>
          <w:szCs w:val="20"/>
        </w:rPr>
        <w:t xml:space="preserve"> and</w:t>
      </w:r>
      <w:r w:rsidR="00543F6A" w:rsidRPr="009D1FD5">
        <w:rPr>
          <w:rFonts w:ascii="Arial" w:hAnsi="Arial"/>
          <w:sz w:val="20"/>
          <w:szCs w:val="20"/>
        </w:rPr>
        <w:t xml:space="preserve"> 24%</w:t>
      </w:r>
      <w:r w:rsidRPr="009D1FD5">
        <w:rPr>
          <w:rFonts w:ascii="Arial" w:hAnsi="Arial"/>
          <w:sz w:val="20"/>
          <w:szCs w:val="20"/>
        </w:rPr>
        <w:t xml:space="preserve"> of its total projected metric tons of fuel consumption for</w:t>
      </w:r>
      <w:r w:rsidR="00631D60" w:rsidRPr="009D1FD5">
        <w:rPr>
          <w:rFonts w:ascii="Arial" w:hAnsi="Arial"/>
          <w:sz w:val="20"/>
          <w:szCs w:val="20"/>
        </w:rPr>
        <w:t xml:space="preserve"> </w:t>
      </w:r>
      <w:r w:rsidR="00AC776E" w:rsidRPr="009D1FD5">
        <w:rPr>
          <w:rFonts w:ascii="Arial" w:hAnsi="Arial"/>
          <w:sz w:val="20"/>
          <w:szCs w:val="20"/>
        </w:rPr>
        <w:t xml:space="preserve">the remainder of </w:t>
      </w:r>
      <w:r w:rsidRPr="009D1FD5">
        <w:rPr>
          <w:rFonts w:ascii="Arial" w:hAnsi="Arial"/>
          <w:sz w:val="20"/>
          <w:szCs w:val="20"/>
        </w:rPr>
        <w:t>2022</w:t>
      </w:r>
      <w:r w:rsidR="009D1FD5">
        <w:rPr>
          <w:rFonts w:ascii="Arial" w:hAnsi="Arial"/>
          <w:sz w:val="20"/>
          <w:szCs w:val="20"/>
        </w:rPr>
        <w:t xml:space="preserve"> and</w:t>
      </w:r>
      <w:r w:rsidR="00DD407D" w:rsidRPr="009D1FD5">
        <w:rPr>
          <w:rFonts w:ascii="Arial" w:hAnsi="Arial"/>
          <w:sz w:val="20"/>
          <w:szCs w:val="20"/>
        </w:rPr>
        <w:t xml:space="preserve"> 2023</w:t>
      </w:r>
      <w:r w:rsidRPr="009D1FD5">
        <w:rPr>
          <w:rFonts w:ascii="Arial" w:hAnsi="Arial"/>
          <w:sz w:val="20"/>
          <w:szCs w:val="20"/>
        </w:rPr>
        <w:t>, respectively. The following table provides amounts hedged and price per barrel of heavy fuel oil (“HFO”) which is hedged utilizing U.S. Gulf Coast 3% (“USGC”)</w:t>
      </w:r>
      <w:r w:rsidR="00543F6A" w:rsidRPr="009D1FD5">
        <w:rPr>
          <w:rFonts w:ascii="Arial" w:hAnsi="Arial"/>
          <w:sz w:val="20"/>
          <w:szCs w:val="20"/>
        </w:rPr>
        <w:t xml:space="preserve">, </w:t>
      </w:r>
      <w:r w:rsidR="00543F6A" w:rsidRPr="009D1FD5">
        <w:rPr>
          <w:rFonts w:ascii="Arial" w:hAnsi="Arial"/>
          <w:color w:val="auto"/>
          <w:sz w:val="20"/>
          <w:szCs w:val="20"/>
        </w:rPr>
        <w:t xml:space="preserve">Brent </w:t>
      </w:r>
      <w:r w:rsidRPr="009D1FD5">
        <w:rPr>
          <w:rFonts w:ascii="Arial" w:hAnsi="Arial"/>
          <w:sz w:val="20"/>
          <w:szCs w:val="20"/>
        </w:rPr>
        <w:t>and marine gas oil (“MGO”) which is hedged utilizing Gasoil.</w:t>
      </w:r>
      <w:r w:rsidRPr="00DD407D">
        <w:rPr>
          <w:rFonts w:ascii="Arial" w:hAnsi="Arial"/>
          <w:sz w:val="20"/>
          <w:szCs w:val="20"/>
        </w:rPr>
        <w:t xml:space="preserve">  </w:t>
      </w:r>
    </w:p>
    <w:p w14:paraId="160B249B" w14:textId="77777777" w:rsidR="008C4D51" w:rsidRPr="00DD407D" w:rsidRDefault="008C4D51">
      <w:pPr>
        <w:spacing w:line="360" w:lineRule="auto"/>
        <w:jc w:val="both"/>
        <w:rPr>
          <w:rFonts w:ascii="Arial" w:hAnsi="Arial"/>
          <w:sz w:val="20"/>
          <w:szCs w:val="20"/>
        </w:rPr>
      </w:pPr>
    </w:p>
    <w:tbl>
      <w:tblPr>
        <w:tblW w:w="74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7"/>
        <w:gridCol w:w="1551"/>
        <w:gridCol w:w="1551"/>
        <w:gridCol w:w="1551"/>
      </w:tblGrid>
      <w:tr w:rsidR="00E43FD2" w14:paraId="12F2B829" w14:textId="49B1DA01" w:rsidTr="00E43FD2">
        <w:trPr>
          <w:trHeight w:val="353"/>
        </w:trPr>
        <w:tc>
          <w:tcPr>
            <w:tcW w:w="2757"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3C1C1ECA" w14:textId="77777777" w:rsidR="00E43FD2" w:rsidRPr="009D1FD5" w:rsidRDefault="00E43FD2">
            <w:pPr>
              <w:jc w:val="right"/>
              <w:rPr>
                <w:rFonts w:ascii="Arial" w:hAnsi="Arial"/>
                <w:sz w:val="16"/>
                <w:szCs w:val="16"/>
              </w:rPr>
            </w:pPr>
            <w:bookmarkStart w:id="22" w:name="_Hlk1135611"/>
            <w:bookmarkStart w:id="23" w:name="_Hlk54946704"/>
          </w:p>
        </w:tc>
        <w:tc>
          <w:tcPr>
            <w:tcW w:w="1551" w:type="dxa"/>
            <w:tcBorders>
              <w:top w:val="nil"/>
              <w:left w:val="nil"/>
              <w:bottom w:val="single" w:sz="4" w:space="0" w:color="auto"/>
              <w:right w:val="nil"/>
            </w:tcBorders>
            <w:shd w:val="clear" w:color="auto" w:fill="auto"/>
            <w:tcMar>
              <w:top w:w="80" w:type="dxa"/>
              <w:left w:w="80" w:type="dxa"/>
              <w:bottom w:w="80" w:type="dxa"/>
              <w:right w:w="80" w:type="dxa"/>
            </w:tcMar>
            <w:vAlign w:val="bottom"/>
            <w:hideMark/>
          </w:tcPr>
          <w:p w14:paraId="1DD60C7E" w14:textId="77777777" w:rsidR="00E43FD2" w:rsidRPr="009D1FD5" w:rsidRDefault="00E43FD2">
            <w:pPr>
              <w:jc w:val="right"/>
              <w:rPr>
                <w:rFonts w:ascii="Arial" w:hAnsi="Arial"/>
                <w:sz w:val="16"/>
                <w:szCs w:val="16"/>
              </w:rPr>
            </w:pPr>
            <w:r w:rsidRPr="009D1FD5">
              <w:rPr>
                <w:rFonts w:ascii="Arial" w:hAnsi="Arial"/>
                <w:sz w:val="16"/>
                <w:szCs w:val="16"/>
              </w:rPr>
              <w:t>2022</w:t>
            </w:r>
          </w:p>
        </w:tc>
        <w:tc>
          <w:tcPr>
            <w:tcW w:w="1551" w:type="dxa"/>
            <w:tcBorders>
              <w:top w:val="nil"/>
              <w:left w:val="nil"/>
              <w:bottom w:val="single" w:sz="4" w:space="0" w:color="auto"/>
              <w:right w:val="nil"/>
            </w:tcBorders>
            <w:shd w:val="clear" w:color="auto" w:fill="auto"/>
            <w:hideMark/>
          </w:tcPr>
          <w:p w14:paraId="37AA0C4D" w14:textId="77777777" w:rsidR="00E43FD2" w:rsidRPr="009D1FD5" w:rsidRDefault="00E43FD2">
            <w:pPr>
              <w:jc w:val="right"/>
              <w:rPr>
                <w:rFonts w:ascii="Arial" w:hAnsi="Arial"/>
                <w:sz w:val="16"/>
                <w:szCs w:val="16"/>
              </w:rPr>
            </w:pPr>
            <w:r w:rsidRPr="009D1FD5">
              <w:rPr>
                <w:rFonts w:ascii="Arial" w:hAnsi="Arial"/>
                <w:sz w:val="16"/>
                <w:szCs w:val="16"/>
              </w:rPr>
              <w:t xml:space="preserve">                   </w:t>
            </w:r>
          </w:p>
          <w:p w14:paraId="11A6A73D" w14:textId="77777777" w:rsidR="00E43FD2" w:rsidRPr="009D1FD5" w:rsidRDefault="00E43FD2">
            <w:pPr>
              <w:jc w:val="right"/>
              <w:rPr>
                <w:rFonts w:ascii="Arial" w:hAnsi="Arial"/>
                <w:sz w:val="16"/>
                <w:szCs w:val="16"/>
              </w:rPr>
            </w:pPr>
            <w:r w:rsidRPr="009D1FD5">
              <w:rPr>
                <w:rFonts w:ascii="Arial" w:hAnsi="Arial"/>
                <w:sz w:val="16"/>
                <w:szCs w:val="16"/>
              </w:rPr>
              <w:t>2023</w:t>
            </w:r>
          </w:p>
        </w:tc>
        <w:tc>
          <w:tcPr>
            <w:tcW w:w="1551" w:type="dxa"/>
            <w:tcBorders>
              <w:top w:val="nil"/>
              <w:left w:val="nil"/>
              <w:bottom w:val="single" w:sz="4" w:space="0" w:color="auto"/>
              <w:right w:val="nil"/>
            </w:tcBorders>
          </w:tcPr>
          <w:p w14:paraId="2BA353B9" w14:textId="77777777" w:rsidR="00E43FD2" w:rsidRDefault="00E43FD2">
            <w:pPr>
              <w:jc w:val="right"/>
              <w:rPr>
                <w:rFonts w:ascii="Arial" w:hAnsi="Arial"/>
                <w:sz w:val="16"/>
                <w:szCs w:val="16"/>
              </w:rPr>
            </w:pPr>
          </w:p>
          <w:p w14:paraId="47053B58" w14:textId="1643370B" w:rsidR="00E43FD2" w:rsidRPr="009D1FD5" w:rsidRDefault="00E43FD2">
            <w:pPr>
              <w:jc w:val="right"/>
              <w:rPr>
                <w:rFonts w:ascii="Arial" w:hAnsi="Arial"/>
                <w:sz w:val="16"/>
                <w:szCs w:val="16"/>
              </w:rPr>
            </w:pPr>
            <w:r>
              <w:rPr>
                <w:rFonts w:ascii="Arial" w:hAnsi="Arial"/>
                <w:sz w:val="16"/>
                <w:szCs w:val="16"/>
              </w:rPr>
              <w:t>2024</w:t>
            </w:r>
          </w:p>
        </w:tc>
      </w:tr>
      <w:tr w:rsidR="00E43FD2" w14:paraId="620A788C" w14:textId="2EC276C9" w:rsidTr="0002656B">
        <w:trPr>
          <w:trHeight w:val="363"/>
        </w:trPr>
        <w:tc>
          <w:tcPr>
            <w:tcW w:w="2757" w:type="dxa"/>
            <w:tcBorders>
              <w:top w:val="single" w:sz="4" w:space="0" w:color="auto"/>
              <w:left w:val="nil"/>
              <w:bottom w:val="nil"/>
              <w:right w:val="nil"/>
            </w:tcBorders>
            <w:shd w:val="clear" w:color="auto" w:fill="B8CCE4"/>
            <w:tcMar>
              <w:top w:w="80" w:type="dxa"/>
              <w:left w:w="80" w:type="dxa"/>
              <w:bottom w:w="80" w:type="dxa"/>
              <w:right w:w="80" w:type="dxa"/>
            </w:tcMar>
            <w:vAlign w:val="center"/>
            <w:hideMark/>
          </w:tcPr>
          <w:p w14:paraId="048FA67C" w14:textId="77777777" w:rsidR="00E43FD2" w:rsidRPr="009D1FD5" w:rsidRDefault="00E43FD2" w:rsidP="0002656B">
            <w:pPr>
              <w:jc w:val="right"/>
              <w:rPr>
                <w:rFonts w:ascii="Arial" w:hAnsi="Arial"/>
                <w:sz w:val="16"/>
                <w:szCs w:val="16"/>
              </w:rPr>
            </w:pPr>
            <w:r w:rsidRPr="009D1FD5">
              <w:rPr>
                <w:rFonts w:ascii="Arial" w:hAnsi="Arial"/>
                <w:sz w:val="16"/>
                <w:szCs w:val="16"/>
              </w:rPr>
              <w:t>% of HFO Consumption Hedged</w:t>
            </w:r>
            <w:r w:rsidRPr="009D1FD5">
              <w:rPr>
                <w:rFonts w:ascii="Arial" w:hAnsi="Arial"/>
                <w:sz w:val="16"/>
                <w:szCs w:val="16"/>
                <w:vertAlign w:val="superscript"/>
              </w:rPr>
              <w:t>1</w:t>
            </w:r>
          </w:p>
        </w:tc>
        <w:tc>
          <w:tcPr>
            <w:tcW w:w="1551" w:type="dxa"/>
            <w:tcBorders>
              <w:top w:val="single" w:sz="4" w:space="0" w:color="auto"/>
              <w:left w:val="nil"/>
              <w:bottom w:val="nil"/>
              <w:right w:val="nil"/>
            </w:tcBorders>
            <w:shd w:val="clear" w:color="auto" w:fill="B8CCE4"/>
            <w:tcMar>
              <w:top w:w="80" w:type="dxa"/>
              <w:left w:w="80" w:type="dxa"/>
              <w:bottom w:w="80" w:type="dxa"/>
              <w:right w:w="80" w:type="dxa"/>
            </w:tcMar>
            <w:vAlign w:val="center"/>
            <w:hideMark/>
          </w:tcPr>
          <w:p w14:paraId="15F28F42" w14:textId="77777777" w:rsidR="00E43FD2" w:rsidRPr="009D1FD5" w:rsidRDefault="00E43FD2" w:rsidP="0002656B">
            <w:pPr>
              <w:jc w:val="right"/>
              <w:rPr>
                <w:rFonts w:ascii="Arial" w:hAnsi="Arial" w:cs="Arial"/>
                <w:sz w:val="16"/>
                <w:szCs w:val="16"/>
              </w:rPr>
            </w:pPr>
            <w:r w:rsidRPr="009D1FD5">
              <w:rPr>
                <w:rFonts w:ascii="Arial" w:hAnsi="Arial" w:cs="Arial"/>
                <w:sz w:val="16"/>
                <w:szCs w:val="16"/>
              </w:rPr>
              <w:t>32%</w:t>
            </w:r>
          </w:p>
        </w:tc>
        <w:tc>
          <w:tcPr>
            <w:tcW w:w="1551" w:type="dxa"/>
            <w:tcBorders>
              <w:top w:val="single" w:sz="4" w:space="0" w:color="auto"/>
              <w:left w:val="nil"/>
              <w:bottom w:val="nil"/>
              <w:right w:val="nil"/>
            </w:tcBorders>
            <w:shd w:val="clear" w:color="auto" w:fill="B8CCE4"/>
            <w:vAlign w:val="center"/>
            <w:hideMark/>
          </w:tcPr>
          <w:p w14:paraId="156E90E6" w14:textId="33CFB8EC" w:rsidR="00E43FD2" w:rsidRPr="005D5B23" w:rsidRDefault="00E43FD2" w:rsidP="0002656B">
            <w:pPr>
              <w:jc w:val="right"/>
              <w:rPr>
                <w:rFonts w:ascii="Arial" w:hAnsi="Arial" w:cs="Arial"/>
                <w:sz w:val="16"/>
                <w:szCs w:val="16"/>
              </w:rPr>
            </w:pPr>
            <w:r w:rsidRPr="005D5B23">
              <w:rPr>
                <w:rFonts w:ascii="Arial" w:hAnsi="Arial" w:cs="Arial"/>
                <w:sz w:val="16"/>
                <w:szCs w:val="16"/>
              </w:rPr>
              <w:t>15%</w:t>
            </w:r>
          </w:p>
        </w:tc>
        <w:tc>
          <w:tcPr>
            <w:tcW w:w="1551" w:type="dxa"/>
            <w:tcBorders>
              <w:top w:val="single" w:sz="4" w:space="0" w:color="auto"/>
              <w:left w:val="nil"/>
              <w:bottom w:val="nil"/>
              <w:right w:val="nil"/>
            </w:tcBorders>
            <w:shd w:val="clear" w:color="auto" w:fill="B8CCE4"/>
            <w:vAlign w:val="center"/>
          </w:tcPr>
          <w:p w14:paraId="7553D25C" w14:textId="0FB9CDDF" w:rsidR="00E43FD2" w:rsidRDefault="00E43FD2" w:rsidP="0002656B">
            <w:pPr>
              <w:jc w:val="right"/>
              <w:rPr>
                <w:rFonts w:ascii="Arial" w:hAnsi="Arial" w:cs="Arial"/>
                <w:sz w:val="16"/>
                <w:szCs w:val="16"/>
              </w:rPr>
            </w:pPr>
            <w:r>
              <w:rPr>
                <w:rFonts w:ascii="Arial" w:hAnsi="Arial" w:cs="Arial"/>
                <w:sz w:val="16"/>
                <w:szCs w:val="16"/>
              </w:rPr>
              <w:t>-</w:t>
            </w:r>
          </w:p>
        </w:tc>
      </w:tr>
      <w:tr w:rsidR="00E43FD2" w14:paraId="3DFF6C4F" w14:textId="2BBA0F5B" w:rsidTr="0002656B">
        <w:trPr>
          <w:trHeight w:val="353"/>
        </w:trPr>
        <w:tc>
          <w:tcPr>
            <w:tcW w:w="2757" w:type="dxa"/>
            <w:tcBorders>
              <w:top w:val="nil"/>
              <w:left w:val="nil"/>
              <w:bottom w:val="single" w:sz="12" w:space="0" w:color="000000"/>
              <w:right w:val="nil"/>
            </w:tcBorders>
            <w:shd w:val="clear" w:color="auto" w:fill="auto"/>
            <w:tcMar>
              <w:top w:w="80" w:type="dxa"/>
              <w:left w:w="80" w:type="dxa"/>
              <w:bottom w:w="80" w:type="dxa"/>
              <w:right w:w="80" w:type="dxa"/>
            </w:tcMar>
            <w:vAlign w:val="center"/>
            <w:hideMark/>
          </w:tcPr>
          <w:p w14:paraId="46BF814E" w14:textId="77777777" w:rsidR="00E43FD2" w:rsidRPr="009D1FD5" w:rsidRDefault="00E43FD2" w:rsidP="0002656B">
            <w:pPr>
              <w:jc w:val="right"/>
            </w:pPr>
            <w:r w:rsidRPr="009D1FD5">
              <w:rPr>
                <w:rFonts w:ascii="Arial" w:hAnsi="Arial"/>
                <w:sz w:val="16"/>
                <w:szCs w:val="16"/>
              </w:rPr>
              <w:t>Average USGC Price / Barrel</w:t>
            </w:r>
          </w:p>
        </w:tc>
        <w:tc>
          <w:tcPr>
            <w:tcW w:w="1551" w:type="dxa"/>
            <w:tcBorders>
              <w:top w:val="nil"/>
              <w:left w:val="nil"/>
              <w:bottom w:val="single" w:sz="12" w:space="0" w:color="000000"/>
              <w:right w:val="nil"/>
            </w:tcBorders>
            <w:shd w:val="clear" w:color="auto" w:fill="auto"/>
            <w:tcMar>
              <w:top w:w="80" w:type="dxa"/>
              <w:left w:w="80" w:type="dxa"/>
              <w:bottom w:w="80" w:type="dxa"/>
              <w:right w:w="80" w:type="dxa"/>
            </w:tcMar>
            <w:vAlign w:val="center"/>
            <w:hideMark/>
          </w:tcPr>
          <w:p w14:paraId="3BD05D23" w14:textId="77777777" w:rsidR="00E43FD2" w:rsidRPr="009D1FD5" w:rsidRDefault="00E43FD2" w:rsidP="0002656B">
            <w:pPr>
              <w:jc w:val="right"/>
              <w:rPr>
                <w:rFonts w:ascii="Arial" w:hAnsi="Arial" w:cs="Arial"/>
                <w:sz w:val="16"/>
                <w:szCs w:val="16"/>
              </w:rPr>
            </w:pPr>
            <w:r w:rsidRPr="009D1FD5">
              <w:rPr>
                <w:rFonts w:ascii="Arial" w:hAnsi="Arial" w:cs="Arial"/>
                <w:sz w:val="16"/>
                <w:szCs w:val="16"/>
              </w:rPr>
              <w:t>$48.36</w:t>
            </w:r>
          </w:p>
        </w:tc>
        <w:tc>
          <w:tcPr>
            <w:tcW w:w="1551" w:type="dxa"/>
            <w:tcBorders>
              <w:top w:val="nil"/>
              <w:left w:val="nil"/>
              <w:bottom w:val="single" w:sz="12" w:space="0" w:color="000000"/>
              <w:right w:val="nil"/>
            </w:tcBorders>
            <w:shd w:val="clear" w:color="auto" w:fill="auto"/>
            <w:vAlign w:val="center"/>
            <w:hideMark/>
          </w:tcPr>
          <w:p w14:paraId="4391CC59" w14:textId="77777777" w:rsidR="00E43FD2" w:rsidRPr="005D5B23" w:rsidRDefault="00E43FD2" w:rsidP="0002656B">
            <w:pPr>
              <w:jc w:val="right"/>
              <w:rPr>
                <w:rFonts w:ascii="Arial" w:hAnsi="Arial" w:cs="Arial"/>
                <w:sz w:val="16"/>
                <w:szCs w:val="16"/>
              </w:rPr>
            </w:pPr>
            <w:bookmarkStart w:id="24" w:name="_Hlk96069749"/>
            <w:r w:rsidRPr="005D5B23">
              <w:rPr>
                <w:rFonts w:ascii="Arial" w:hAnsi="Arial" w:cs="Arial"/>
                <w:sz w:val="16"/>
                <w:szCs w:val="16"/>
              </w:rPr>
              <w:t>N/A</w:t>
            </w:r>
            <w:bookmarkEnd w:id="24"/>
          </w:p>
        </w:tc>
        <w:tc>
          <w:tcPr>
            <w:tcW w:w="1551" w:type="dxa"/>
            <w:tcBorders>
              <w:top w:val="nil"/>
              <w:left w:val="nil"/>
              <w:bottom w:val="single" w:sz="12" w:space="0" w:color="000000"/>
              <w:right w:val="nil"/>
            </w:tcBorders>
            <w:vAlign w:val="center"/>
          </w:tcPr>
          <w:p w14:paraId="1BEBDA52" w14:textId="661BA1E7" w:rsidR="00E43FD2" w:rsidRPr="009D1FD5" w:rsidRDefault="00E43FD2" w:rsidP="0002656B">
            <w:pPr>
              <w:jc w:val="right"/>
              <w:rPr>
                <w:rFonts w:ascii="Arial" w:hAnsi="Arial" w:cs="Arial"/>
                <w:sz w:val="16"/>
                <w:szCs w:val="16"/>
              </w:rPr>
            </w:pPr>
            <w:r>
              <w:rPr>
                <w:rFonts w:ascii="Arial" w:hAnsi="Arial" w:cs="Arial"/>
                <w:sz w:val="16"/>
                <w:szCs w:val="16"/>
              </w:rPr>
              <w:t>-</w:t>
            </w:r>
          </w:p>
        </w:tc>
      </w:tr>
      <w:tr w:rsidR="00E43FD2" w14:paraId="743136AF" w14:textId="42234179" w:rsidTr="0002656B">
        <w:trPr>
          <w:trHeight w:val="353"/>
        </w:trPr>
        <w:tc>
          <w:tcPr>
            <w:tcW w:w="2757" w:type="dxa"/>
            <w:tcBorders>
              <w:top w:val="nil"/>
              <w:left w:val="nil"/>
              <w:bottom w:val="single" w:sz="12" w:space="0" w:color="000000"/>
              <w:right w:val="nil"/>
            </w:tcBorders>
            <w:shd w:val="clear" w:color="auto" w:fill="auto"/>
            <w:tcMar>
              <w:top w:w="80" w:type="dxa"/>
              <w:left w:w="80" w:type="dxa"/>
              <w:bottom w:w="80" w:type="dxa"/>
              <w:right w:w="80" w:type="dxa"/>
            </w:tcMar>
            <w:vAlign w:val="center"/>
            <w:hideMark/>
          </w:tcPr>
          <w:p w14:paraId="0AEAE9FF" w14:textId="77777777" w:rsidR="00E43FD2" w:rsidRPr="009D1FD5" w:rsidRDefault="00E43FD2" w:rsidP="0002656B">
            <w:pPr>
              <w:jc w:val="right"/>
              <w:rPr>
                <w:rFonts w:ascii="Arial" w:hAnsi="Arial"/>
                <w:sz w:val="16"/>
                <w:szCs w:val="16"/>
              </w:rPr>
            </w:pPr>
            <w:r w:rsidRPr="009D1FD5">
              <w:rPr>
                <w:rFonts w:ascii="Arial" w:hAnsi="Arial"/>
                <w:sz w:val="16"/>
                <w:szCs w:val="16"/>
              </w:rPr>
              <w:lastRenderedPageBreak/>
              <w:t>Average Brent Price / Barrel</w:t>
            </w:r>
          </w:p>
        </w:tc>
        <w:tc>
          <w:tcPr>
            <w:tcW w:w="1551" w:type="dxa"/>
            <w:tcBorders>
              <w:top w:val="nil"/>
              <w:left w:val="nil"/>
              <w:bottom w:val="single" w:sz="12" w:space="0" w:color="000000"/>
              <w:right w:val="nil"/>
            </w:tcBorders>
            <w:shd w:val="clear" w:color="auto" w:fill="auto"/>
            <w:tcMar>
              <w:top w:w="80" w:type="dxa"/>
              <w:left w:w="80" w:type="dxa"/>
              <w:bottom w:w="80" w:type="dxa"/>
              <w:right w:w="80" w:type="dxa"/>
            </w:tcMar>
            <w:vAlign w:val="center"/>
            <w:hideMark/>
          </w:tcPr>
          <w:p w14:paraId="711F8033" w14:textId="77777777" w:rsidR="00E43FD2" w:rsidRPr="009D1FD5" w:rsidRDefault="00E43FD2" w:rsidP="0002656B">
            <w:pPr>
              <w:jc w:val="right"/>
              <w:rPr>
                <w:rFonts w:ascii="Arial" w:hAnsi="Arial" w:cs="Arial"/>
                <w:sz w:val="16"/>
                <w:szCs w:val="16"/>
              </w:rPr>
            </w:pPr>
            <w:r w:rsidRPr="009D1FD5">
              <w:rPr>
                <w:rFonts w:ascii="Arial" w:hAnsi="Arial" w:cs="Arial"/>
                <w:sz w:val="16"/>
                <w:szCs w:val="16"/>
              </w:rPr>
              <w:t>$66.50</w:t>
            </w:r>
          </w:p>
        </w:tc>
        <w:tc>
          <w:tcPr>
            <w:tcW w:w="1551" w:type="dxa"/>
            <w:tcBorders>
              <w:top w:val="nil"/>
              <w:left w:val="nil"/>
              <w:bottom w:val="single" w:sz="12" w:space="0" w:color="000000"/>
              <w:right w:val="nil"/>
            </w:tcBorders>
            <w:shd w:val="clear" w:color="auto" w:fill="auto"/>
            <w:vAlign w:val="center"/>
            <w:hideMark/>
          </w:tcPr>
          <w:p w14:paraId="608616F1" w14:textId="77777777" w:rsidR="00E43FD2" w:rsidRPr="009D1FD5" w:rsidRDefault="00E43FD2" w:rsidP="0002656B">
            <w:pPr>
              <w:jc w:val="right"/>
              <w:rPr>
                <w:rFonts w:ascii="Arial" w:hAnsi="Arial" w:cs="Arial"/>
                <w:sz w:val="16"/>
                <w:szCs w:val="16"/>
              </w:rPr>
            </w:pPr>
            <w:r w:rsidRPr="009D1FD5">
              <w:rPr>
                <w:rFonts w:ascii="Arial" w:hAnsi="Arial" w:cs="Arial"/>
                <w:sz w:val="16"/>
                <w:szCs w:val="16"/>
              </w:rPr>
              <w:t>$64.72</w:t>
            </w:r>
          </w:p>
        </w:tc>
        <w:tc>
          <w:tcPr>
            <w:tcW w:w="1551" w:type="dxa"/>
            <w:tcBorders>
              <w:top w:val="nil"/>
              <w:left w:val="nil"/>
              <w:bottom w:val="single" w:sz="12" w:space="0" w:color="000000"/>
              <w:right w:val="nil"/>
            </w:tcBorders>
            <w:vAlign w:val="center"/>
          </w:tcPr>
          <w:p w14:paraId="5D9395F3" w14:textId="4D1EF61B" w:rsidR="00E43FD2" w:rsidRPr="009D1FD5" w:rsidRDefault="00E43FD2" w:rsidP="0002656B">
            <w:pPr>
              <w:jc w:val="right"/>
              <w:rPr>
                <w:rFonts w:ascii="Arial" w:hAnsi="Arial" w:cs="Arial"/>
                <w:sz w:val="16"/>
                <w:szCs w:val="16"/>
              </w:rPr>
            </w:pPr>
            <w:r>
              <w:rPr>
                <w:rFonts w:ascii="Arial" w:hAnsi="Arial" w:cs="Arial"/>
                <w:sz w:val="16"/>
                <w:szCs w:val="16"/>
              </w:rPr>
              <w:t>-</w:t>
            </w:r>
          </w:p>
        </w:tc>
      </w:tr>
      <w:tr w:rsidR="00E43FD2" w14:paraId="05E3AC41" w14:textId="01EC60B3" w:rsidTr="0002656B">
        <w:trPr>
          <w:trHeight w:val="383"/>
        </w:trPr>
        <w:tc>
          <w:tcPr>
            <w:tcW w:w="2757" w:type="dxa"/>
            <w:tcBorders>
              <w:top w:val="single" w:sz="12" w:space="0" w:color="000000"/>
              <w:left w:val="nil"/>
              <w:bottom w:val="nil"/>
              <w:right w:val="nil"/>
            </w:tcBorders>
            <w:shd w:val="clear" w:color="auto" w:fill="B8CCE4"/>
            <w:tcMar>
              <w:top w:w="80" w:type="dxa"/>
              <w:left w:w="80" w:type="dxa"/>
              <w:bottom w:w="80" w:type="dxa"/>
              <w:right w:w="80" w:type="dxa"/>
            </w:tcMar>
            <w:vAlign w:val="center"/>
            <w:hideMark/>
          </w:tcPr>
          <w:p w14:paraId="1F0BCFD6" w14:textId="77777777" w:rsidR="00E43FD2" w:rsidRPr="009D1FD5" w:rsidRDefault="00E43FD2" w:rsidP="0002656B">
            <w:pPr>
              <w:jc w:val="right"/>
            </w:pPr>
            <w:r w:rsidRPr="009D1FD5">
              <w:rPr>
                <w:rFonts w:ascii="Arial" w:hAnsi="Arial"/>
                <w:sz w:val="16"/>
                <w:szCs w:val="16"/>
              </w:rPr>
              <w:t>% of MGO Consumption Hedged</w:t>
            </w:r>
          </w:p>
        </w:tc>
        <w:tc>
          <w:tcPr>
            <w:tcW w:w="1551" w:type="dxa"/>
            <w:tcBorders>
              <w:top w:val="single" w:sz="12" w:space="0" w:color="000000"/>
              <w:left w:val="nil"/>
              <w:bottom w:val="nil"/>
              <w:right w:val="nil"/>
            </w:tcBorders>
            <w:shd w:val="clear" w:color="auto" w:fill="B8CCE4"/>
            <w:tcMar>
              <w:top w:w="80" w:type="dxa"/>
              <w:left w:w="80" w:type="dxa"/>
              <w:bottom w:w="80" w:type="dxa"/>
              <w:right w:w="80" w:type="dxa"/>
            </w:tcMar>
            <w:vAlign w:val="center"/>
            <w:hideMark/>
          </w:tcPr>
          <w:p w14:paraId="23310CC0" w14:textId="77777777" w:rsidR="00E43FD2" w:rsidRPr="009D1FD5" w:rsidRDefault="00E43FD2" w:rsidP="0002656B">
            <w:pPr>
              <w:jc w:val="right"/>
              <w:rPr>
                <w:rFonts w:ascii="Arial" w:hAnsi="Arial" w:cs="Arial"/>
                <w:sz w:val="16"/>
                <w:szCs w:val="16"/>
              </w:rPr>
            </w:pPr>
            <w:r w:rsidRPr="009D1FD5">
              <w:rPr>
                <w:rFonts w:ascii="Arial" w:hAnsi="Arial" w:cs="Arial"/>
                <w:sz w:val="16"/>
                <w:szCs w:val="16"/>
              </w:rPr>
              <w:t>51%</w:t>
            </w:r>
            <w:r w:rsidRPr="009D1FD5">
              <w:rPr>
                <w:rFonts w:ascii="Arial" w:hAnsi="Arial"/>
                <w:sz w:val="16"/>
                <w:szCs w:val="16"/>
                <w:vertAlign w:val="superscript"/>
              </w:rPr>
              <w:t>1</w:t>
            </w:r>
          </w:p>
        </w:tc>
        <w:tc>
          <w:tcPr>
            <w:tcW w:w="1551" w:type="dxa"/>
            <w:tcBorders>
              <w:top w:val="single" w:sz="12" w:space="0" w:color="000000"/>
              <w:left w:val="nil"/>
              <w:bottom w:val="nil"/>
              <w:right w:val="nil"/>
            </w:tcBorders>
            <w:shd w:val="clear" w:color="auto" w:fill="B8CCE4"/>
            <w:vAlign w:val="center"/>
            <w:hideMark/>
          </w:tcPr>
          <w:p w14:paraId="2BC2EA95" w14:textId="77777777" w:rsidR="00E43FD2" w:rsidRPr="009D1FD5" w:rsidRDefault="00E43FD2" w:rsidP="0002656B">
            <w:pPr>
              <w:jc w:val="right"/>
              <w:rPr>
                <w:rFonts w:ascii="Arial" w:hAnsi="Arial" w:cs="Arial"/>
                <w:sz w:val="16"/>
                <w:szCs w:val="16"/>
              </w:rPr>
            </w:pPr>
            <w:r w:rsidRPr="009D1FD5">
              <w:rPr>
                <w:rFonts w:ascii="Arial" w:hAnsi="Arial" w:cs="Arial"/>
                <w:sz w:val="16"/>
                <w:szCs w:val="16"/>
              </w:rPr>
              <w:t>33%</w:t>
            </w:r>
          </w:p>
        </w:tc>
        <w:tc>
          <w:tcPr>
            <w:tcW w:w="1551" w:type="dxa"/>
            <w:tcBorders>
              <w:top w:val="single" w:sz="12" w:space="0" w:color="000000"/>
              <w:left w:val="nil"/>
              <w:bottom w:val="nil"/>
              <w:right w:val="nil"/>
            </w:tcBorders>
            <w:shd w:val="clear" w:color="auto" w:fill="B8CCE4"/>
            <w:vAlign w:val="center"/>
          </w:tcPr>
          <w:p w14:paraId="64466933" w14:textId="37D445D2" w:rsidR="00E43FD2" w:rsidRPr="009D1FD5" w:rsidRDefault="00E43FD2" w:rsidP="0002656B">
            <w:pPr>
              <w:jc w:val="right"/>
              <w:rPr>
                <w:rFonts w:ascii="Arial" w:hAnsi="Arial" w:cs="Arial"/>
                <w:sz w:val="16"/>
                <w:szCs w:val="16"/>
              </w:rPr>
            </w:pPr>
            <w:r>
              <w:rPr>
                <w:rFonts w:ascii="Arial" w:hAnsi="Arial" w:cs="Arial"/>
                <w:sz w:val="16"/>
                <w:szCs w:val="16"/>
              </w:rPr>
              <w:t>-</w:t>
            </w:r>
          </w:p>
        </w:tc>
      </w:tr>
      <w:tr w:rsidR="00E43FD2" w:rsidRPr="00440B1E" w14:paraId="156DC2FD" w14:textId="7C3EAFE1" w:rsidTr="0002656B">
        <w:trPr>
          <w:trHeight w:val="353"/>
        </w:trPr>
        <w:tc>
          <w:tcPr>
            <w:tcW w:w="2757" w:type="dxa"/>
            <w:tcBorders>
              <w:top w:val="nil"/>
              <w:left w:val="nil"/>
              <w:bottom w:val="nil"/>
              <w:right w:val="nil"/>
            </w:tcBorders>
            <w:shd w:val="clear" w:color="auto" w:fill="auto"/>
            <w:tcMar>
              <w:top w:w="80" w:type="dxa"/>
              <w:left w:w="80" w:type="dxa"/>
              <w:bottom w:w="80" w:type="dxa"/>
              <w:right w:w="80" w:type="dxa"/>
            </w:tcMar>
            <w:vAlign w:val="center"/>
            <w:hideMark/>
          </w:tcPr>
          <w:p w14:paraId="0A53FFAD" w14:textId="77777777" w:rsidR="00E43FD2" w:rsidRPr="00440B1E" w:rsidRDefault="00E43FD2" w:rsidP="0002656B">
            <w:pPr>
              <w:jc w:val="right"/>
              <w:rPr>
                <w:rFonts w:ascii="Arial" w:hAnsi="Arial"/>
                <w:sz w:val="16"/>
                <w:szCs w:val="16"/>
              </w:rPr>
            </w:pPr>
            <w:r w:rsidRPr="00440B1E">
              <w:rPr>
                <w:rFonts w:ascii="Arial" w:hAnsi="Arial"/>
                <w:sz w:val="16"/>
                <w:szCs w:val="16"/>
              </w:rPr>
              <w:t xml:space="preserve">Average Gasoil Price / Barrel </w:t>
            </w:r>
          </w:p>
        </w:tc>
        <w:tc>
          <w:tcPr>
            <w:tcW w:w="1551" w:type="dxa"/>
            <w:tcBorders>
              <w:top w:val="nil"/>
              <w:left w:val="nil"/>
              <w:bottom w:val="nil"/>
              <w:right w:val="nil"/>
            </w:tcBorders>
            <w:shd w:val="clear" w:color="auto" w:fill="auto"/>
            <w:tcMar>
              <w:top w:w="80" w:type="dxa"/>
              <w:left w:w="80" w:type="dxa"/>
              <w:bottom w:w="80" w:type="dxa"/>
              <w:right w:w="80" w:type="dxa"/>
            </w:tcMar>
            <w:vAlign w:val="center"/>
            <w:hideMark/>
          </w:tcPr>
          <w:p w14:paraId="53843CF4" w14:textId="77777777" w:rsidR="00E43FD2" w:rsidRPr="00440B1E" w:rsidRDefault="00E43FD2" w:rsidP="0002656B">
            <w:pPr>
              <w:jc w:val="right"/>
              <w:rPr>
                <w:rFonts w:ascii="Arial" w:hAnsi="Arial" w:cs="Arial"/>
                <w:sz w:val="16"/>
                <w:szCs w:val="16"/>
              </w:rPr>
            </w:pPr>
            <w:r w:rsidRPr="00440B1E">
              <w:rPr>
                <w:rFonts w:ascii="Arial" w:hAnsi="Arial" w:cs="Arial"/>
                <w:sz w:val="16"/>
                <w:szCs w:val="16"/>
              </w:rPr>
              <w:t>$70.06</w:t>
            </w:r>
          </w:p>
        </w:tc>
        <w:tc>
          <w:tcPr>
            <w:tcW w:w="1551" w:type="dxa"/>
            <w:tcBorders>
              <w:top w:val="nil"/>
              <w:left w:val="nil"/>
              <w:bottom w:val="nil"/>
              <w:right w:val="nil"/>
            </w:tcBorders>
            <w:shd w:val="clear" w:color="auto" w:fill="auto"/>
            <w:vAlign w:val="center"/>
            <w:hideMark/>
          </w:tcPr>
          <w:p w14:paraId="132343D2" w14:textId="77777777" w:rsidR="00E43FD2" w:rsidRPr="00440B1E" w:rsidRDefault="00E43FD2" w:rsidP="0002656B">
            <w:pPr>
              <w:jc w:val="right"/>
              <w:rPr>
                <w:rFonts w:ascii="Arial" w:hAnsi="Arial" w:cs="Arial"/>
                <w:sz w:val="16"/>
                <w:szCs w:val="16"/>
              </w:rPr>
            </w:pPr>
            <w:r w:rsidRPr="00440B1E">
              <w:rPr>
                <w:rFonts w:ascii="Arial" w:hAnsi="Arial" w:cs="Arial"/>
                <w:sz w:val="16"/>
                <w:szCs w:val="16"/>
              </w:rPr>
              <w:t>$69.91</w:t>
            </w:r>
          </w:p>
        </w:tc>
        <w:tc>
          <w:tcPr>
            <w:tcW w:w="1551" w:type="dxa"/>
            <w:tcBorders>
              <w:top w:val="nil"/>
              <w:left w:val="nil"/>
              <w:bottom w:val="nil"/>
              <w:right w:val="nil"/>
            </w:tcBorders>
            <w:vAlign w:val="center"/>
          </w:tcPr>
          <w:p w14:paraId="0BEE403B" w14:textId="65876539" w:rsidR="00E43FD2" w:rsidRPr="00440B1E" w:rsidRDefault="00E43FD2" w:rsidP="0002656B">
            <w:pPr>
              <w:jc w:val="right"/>
              <w:rPr>
                <w:rFonts w:ascii="Arial" w:hAnsi="Arial" w:cs="Arial"/>
                <w:sz w:val="16"/>
                <w:szCs w:val="16"/>
              </w:rPr>
            </w:pPr>
            <w:r>
              <w:rPr>
                <w:rFonts w:ascii="Arial" w:hAnsi="Arial" w:cs="Arial"/>
                <w:sz w:val="16"/>
                <w:szCs w:val="16"/>
              </w:rPr>
              <w:t>-</w:t>
            </w:r>
          </w:p>
        </w:tc>
      </w:tr>
      <w:tr w:rsidR="0002656B" w:rsidRPr="00440B1E" w14:paraId="073833B7" w14:textId="77777777" w:rsidTr="0002656B">
        <w:trPr>
          <w:trHeight w:val="353"/>
        </w:trPr>
        <w:tc>
          <w:tcPr>
            <w:tcW w:w="2757" w:type="dxa"/>
            <w:tcBorders>
              <w:top w:val="nil"/>
              <w:left w:val="nil"/>
              <w:bottom w:val="nil"/>
              <w:right w:val="nil"/>
            </w:tcBorders>
            <w:shd w:val="clear" w:color="auto" w:fill="95B3D7" w:themeFill="accent1" w:themeFillTint="99"/>
            <w:tcMar>
              <w:top w:w="80" w:type="dxa"/>
              <w:left w:w="80" w:type="dxa"/>
              <w:bottom w:w="80" w:type="dxa"/>
              <w:right w:w="80" w:type="dxa"/>
            </w:tcMar>
            <w:vAlign w:val="center"/>
          </w:tcPr>
          <w:p w14:paraId="0002266F" w14:textId="27F060A8" w:rsidR="0002656B" w:rsidRPr="00440B1E" w:rsidRDefault="0002656B" w:rsidP="0002656B">
            <w:pPr>
              <w:jc w:val="right"/>
              <w:rPr>
                <w:rFonts w:ascii="Arial" w:hAnsi="Arial"/>
                <w:sz w:val="16"/>
                <w:szCs w:val="16"/>
              </w:rPr>
            </w:pPr>
            <w:r>
              <w:rPr>
                <w:rFonts w:ascii="Arial" w:hAnsi="Arial"/>
                <w:sz w:val="16"/>
                <w:szCs w:val="16"/>
              </w:rPr>
              <w:t>Total % of Consumption Hedged</w:t>
            </w:r>
          </w:p>
        </w:tc>
        <w:tc>
          <w:tcPr>
            <w:tcW w:w="1551" w:type="dxa"/>
            <w:tcBorders>
              <w:top w:val="nil"/>
              <w:left w:val="nil"/>
              <w:bottom w:val="nil"/>
              <w:right w:val="nil"/>
            </w:tcBorders>
            <w:shd w:val="clear" w:color="auto" w:fill="95B3D7" w:themeFill="accent1" w:themeFillTint="99"/>
            <w:tcMar>
              <w:top w:w="80" w:type="dxa"/>
              <w:left w:w="80" w:type="dxa"/>
              <w:bottom w:w="80" w:type="dxa"/>
              <w:right w:w="80" w:type="dxa"/>
            </w:tcMar>
            <w:vAlign w:val="center"/>
          </w:tcPr>
          <w:p w14:paraId="6D8919D5" w14:textId="5C8B39B0" w:rsidR="0002656B" w:rsidRPr="00440B1E" w:rsidRDefault="0002656B" w:rsidP="0002656B">
            <w:pPr>
              <w:jc w:val="right"/>
              <w:rPr>
                <w:rFonts w:ascii="Arial" w:hAnsi="Arial" w:cs="Arial"/>
                <w:sz w:val="16"/>
                <w:szCs w:val="16"/>
              </w:rPr>
            </w:pPr>
            <w:r>
              <w:rPr>
                <w:rFonts w:ascii="Arial" w:hAnsi="Arial" w:cs="Arial"/>
                <w:sz w:val="16"/>
                <w:szCs w:val="16"/>
              </w:rPr>
              <w:t>42%</w:t>
            </w:r>
          </w:p>
        </w:tc>
        <w:tc>
          <w:tcPr>
            <w:tcW w:w="1551" w:type="dxa"/>
            <w:tcBorders>
              <w:top w:val="nil"/>
              <w:left w:val="nil"/>
              <w:bottom w:val="nil"/>
              <w:right w:val="nil"/>
            </w:tcBorders>
            <w:shd w:val="clear" w:color="auto" w:fill="95B3D7" w:themeFill="accent1" w:themeFillTint="99"/>
            <w:vAlign w:val="center"/>
          </w:tcPr>
          <w:p w14:paraId="3FB0F259" w14:textId="536804BE" w:rsidR="0002656B" w:rsidRPr="00440B1E" w:rsidRDefault="0002656B" w:rsidP="0002656B">
            <w:pPr>
              <w:jc w:val="right"/>
              <w:rPr>
                <w:rFonts w:ascii="Arial" w:hAnsi="Arial" w:cs="Arial"/>
                <w:sz w:val="16"/>
                <w:szCs w:val="16"/>
              </w:rPr>
            </w:pPr>
            <w:r>
              <w:rPr>
                <w:rFonts w:ascii="Arial" w:hAnsi="Arial" w:cs="Arial"/>
                <w:sz w:val="16"/>
                <w:szCs w:val="16"/>
              </w:rPr>
              <w:t>24%</w:t>
            </w:r>
          </w:p>
        </w:tc>
        <w:tc>
          <w:tcPr>
            <w:tcW w:w="1551" w:type="dxa"/>
            <w:tcBorders>
              <w:top w:val="nil"/>
              <w:left w:val="nil"/>
              <w:bottom w:val="nil"/>
              <w:right w:val="nil"/>
            </w:tcBorders>
            <w:shd w:val="clear" w:color="auto" w:fill="95B3D7" w:themeFill="accent1" w:themeFillTint="99"/>
            <w:vAlign w:val="center"/>
          </w:tcPr>
          <w:p w14:paraId="024E0C3D" w14:textId="588AD89F" w:rsidR="0002656B" w:rsidRDefault="0002656B" w:rsidP="0002656B">
            <w:pPr>
              <w:jc w:val="right"/>
              <w:rPr>
                <w:rFonts w:ascii="Arial" w:hAnsi="Arial" w:cs="Arial"/>
                <w:sz w:val="16"/>
                <w:szCs w:val="16"/>
              </w:rPr>
            </w:pPr>
            <w:r>
              <w:rPr>
                <w:rFonts w:ascii="Arial" w:hAnsi="Arial" w:cs="Arial"/>
                <w:sz w:val="16"/>
                <w:szCs w:val="16"/>
              </w:rPr>
              <w:t>-</w:t>
            </w:r>
          </w:p>
        </w:tc>
      </w:tr>
    </w:tbl>
    <w:bookmarkEnd w:id="22"/>
    <w:p w14:paraId="56B8F725" w14:textId="20F27F0D" w:rsidR="007743CC" w:rsidRPr="00440B1E" w:rsidRDefault="00440B1E" w:rsidP="00440B1E">
      <w:pPr>
        <w:pStyle w:val="Prrafodelista"/>
        <w:numPr>
          <w:ilvl w:val="0"/>
          <w:numId w:val="42"/>
        </w:numPr>
        <w:rPr>
          <w:rFonts w:eastAsia="Arial"/>
        </w:rPr>
      </w:pPr>
      <w:r w:rsidRPr="00440B1E">
        <w:rPr>
          <w:rFonts w:ascii="Arial" w:eastAsia="Arial" w:hAnsi="Arial" w:cs="Arial"/>
          <w:color w:val="000000" w:themeColor="text1"/>
          <w:sz w:val="14"/>
          <w:szCs w:val="14"/>
        </w:rPr>
        <w:t xml:space="preserve">USGC derivatives were de-designated for accounting purposes in the fourth quarter of 2020 and first quarter of 2021. Both our USGC and Brent derivatives represent economic hedges and may be designated or re-designated as accounting hedges in the future. </w:t>
      </w:r>
    </w:p>
    <w:p w14:paraId="06FB448A" w14:textId="77777777" w:rsidR="002D677E" w:rsidRPr="00440B1E" w:rsidRDefault="002D677E">
      <w:pPr>
        <w:spacing w:line="360" w:lineRule="auto"/>
        <w:jc w:val="both"/>
        <w:rPr>
          <w:rFonts w:ascii="Arial" w:hAnsi="Arial"/>
          <w:sz w:val="20"/>
          <w:szCs w:val="20"/>
        </w:rPr>
      </w:pPr>
    </w:p>
    <w:p w14:paraId="721F8A2C" w14:textId="7FFF8689" w:rsidR="00D473D1" w:rsidRPr="001A5210" w:rsidRDefault="00997BBA">
      <w:pPr>
        <w:spacing w:line="360" w:lineRule="auto"/>
        <w:jc w:val="both"/>
        <w:rPr>
          <w:rFonts w:ascii="Arial" w:hAnsi="Arial"/>
          <w:sz w:val="20"/>
          <w:szCs w:val="20"/>
        </w:rPr>
      </w:pPr>
      <w:bookmarkStart w:id="25" w:name="_Hlk78887929"/>
      <w:r w:rsidRPr="00E43FD2">
        <w:rPr>
          <w:rFonts w:ascii="Arial" w:hAnsi="Arial"/>
          <w:sz w:val="20"/>
          <w:szCs w:val="20"/>
        </w:rPr>
        <w:t>A</w:t>
      </w:r>
      <w:r w:rsidR="00BC16AA" w:rsidRPr="00E43FD2">
        <w:rPr>
          <w:rFonts w:ascii="Arial" w:hAnsi="Arial"/>
          <w:sz w:val="20"/>
          <w:szCs w:val="20"/>
        </w:rPr>
        <w:t xml:space="preserve">nticipated </w:t>
      </w:r>
      <w:bookmarkStart w:id="26" w:name="_Hlk64639340"/>
      <w:bookmarkEnd w:id="23"/>
      <w:r w:rsidR="00DD407D" w:rsidRPr="00E43FD2">
        <w:rPr>
          <w:rFonts w:ascii="Arial" w:hAnsi="Arial"/>
          <w:sz w:val="20"/>
          <w:szCs w:val="20"/>
        </w:rPr>
        <w:t>n</w:t>
      </w:r>
      <w:r w:rsidR="00B9125D" w:rsidRPr="00E43FD2">
        <w:rPr>
          <w:rFonts w:ascii="Arial" w:hAnsi="Arial"/>
          <w:sz w:val="20"/>
          <w:szCs w:val="20"/>
        </w:rPr>
        <w:t>on-</w:t>
      </w:r>
      <w:proofErr w:type="spellStart"/>
      <w:r w:rsidR="00B9125D" w:rsidRPr="00E43FD2">
        <w:rPr>
          <w:rFonts w:ascii="Arial" w:hAnsi="Arial"/>
          <w:sz w:val="20"/>
          <w:szCs w:val="20"/>
        </w:rPr>
        <w:t>newbuild</w:t>
      </w:r>
      <w:proofErr w:type="spellEnd"/>
      <w:r w:rsidR="00B9125D" w:rsidRPr="00E43FD2">
        <w:rPr>
          <w:rFonts w:ascii="Arial" w:hAnsi="Arial"/>
          <w:sz w:val="20"/>
          <w:szCs w:val="20"/>
        </w:rPr>
        <w:t xml:space="preserve"> capital expenditures for full year 2022 </w:t>
      </w:r>
      <w:r w:rsidR="00C31CE7" w:rsidRPr="00E43FD2">
        <w:rPr>
          <w:rFonts w:ascii="Arial" w:hAnsi="Arial"/>
          <w:sz w:val="20"/>
          <w:szCs w:val="20"/>
        </w:rPr>
        <w:t xml:space="preserve">are </w:t>
      </w:r>
      <w:r w:rsidR="00B9125D" w:rsidRPr="00E43FD2">
        <w:rPr>
          <w:rFonts w:ascii="Arial" w:hAnsi="Arial"/>
          <w:sz w:val="20"/>
          <w:szCs w:val="20"/>
        </w:rPr>
        <w:t xml:space="preserve">expected to be </w:t>
      </w:r>
      <w:r w:rsidR="00B9125D" w:rsidRPr="003228F2">
        <w:rPr>
          <w:rFonts w:ascii="Arial" w:hAnsi="Arial"/>
          <w:sz w:val="20"/>
          <w:szCs w:val="20"/>
        </w:rPr>
        <w:t xml:space="preserve">approximately </w:t>
      </w:r>
      <w:r w:rsidR="00C31CE7" w:rsidRPr="003228F2">
        <w:rPr>
          <w:rFonts w:ascii="Arial" w:hAnsi="Arial"/>
          <w:sz w:val="20"/>
          <w:szCs w:val="20"/>
        </w:rPr>
        <w:t>$5</w:t>
      </w:r>
      <w:r w:rsidR="00F4463D" w:rsidRPr="003228F2">
        <w:rPr>
          <w:rFonts w:ascii="Arial" w:hAnsi="Arial"/>
          <w:sz w:val="20"/>
          <w:szCs w:val="20"/>
        </w:rPr>
        <w:t>00</w:t>
      </w:r>
      <w:r w:rsidR="00F4463D" w:rsidRPr="00E43FD2">
        <w:rPr>
          <w:rFonts w:ascii="Arial" w:hAnsi="Arial"/>
          <w:sz w:val="20"/>
          <w:szCs w:val="20"/>
        </w:rPr>
        <w:t xml:space="preserve"> m</w:t>
      </w:r>
      <w:r w:rsidR="001E252B" w:rsidRPr="00E43FD2">
        <w:rPr>
          <w:rFonts w:ascii="Arial" w:hAnsi="Arial"/>
          <w:sz w:val="20"/>
          <w:szCs w:val="20"/>
        </w:rPr>
        <w:t>illion</w:t>
      </w:r>
      <w:r w:rsidR="00B9125D" w:rsidRPr="00E43FD2">
        <w:rPr>
          <w:rFonts w:ascii="Arial" w:hAnsi="Arial"/>
          <w:sz w:val="20"/>
          <w:szCs w:val="20"/>
        </w:rPr>
        <w:t xml:space="preserve">. </w:t>
      </w:r>
      <w:bookmarkStart w:id="27" w:name="_Hlk64897386"/>
      <w:bookmarkStart w:id="28" w:name="_Hlk64898008"/>
      <w:bookmarkEnd w:id="25"/>
      <w:r w:rsidR="00956796" w:rsidRPr="002D5FCE">
        <w:rPr>
          <w:rFonts w:ascii="Arial" w:hAnsi="Arial"/>
          <w:sz w:val="20"/>
          <w:szCs w:val="20"/>
        </w:rPr>
        <w:t xml:space="preserve">Due to previously agreed deferrals through </w:t>
      </w:r>
      <w:r w:rsidR="00956796">
        <w:rPr>
          <w:rFonts w:ascii="Arial" w:hAnsi="Arial"/>
          <w:sz w:val="20"/>
          <w:szCs w:val="20"/>
        </w:rPr>
        <w:t xml:space="preserve">first quarter </w:t>
      </w:r>
      <w:r w:rsidR="00B02F8D">
        <w:rPr>
          <w:rFonts w:ascii="Arial" w:hAnsi="Arial"/>
          <w:sz w:val="20"/>
          <w:szCs w:val="20"/>
        </w:rPr>
        <w:t xml:space="preserve">of </w:t>
      </w:r>
      <w:r w:rsidR="00956796">
        <w:rPr>
          <w:rFonts w:ascii="Arial" w:hAnsi="Arial"/>
          <w:sz w:val="20"/>
          <w:szCs w:val="20"/>
        </w:rPr>
        <w:t>2022</w:t>
      </w:r>
      <w:r w:rsidR="00C31CE7" w:rsidRPr="00E43FD2">
        <w:rPr>
          <w:rFonts w:ascii="Arial" w:hAnsi="Arial"/>
          <w:sz w:val="20"/>
          <w:szCs w:val="20"/>
        </w:rPr>
        <w:t>,</w:t>
      </w:r>
      <w:r w:rsidR="00EE4AE1" w:rsidRPr="00E43FD2">
        <w:rPr>
          <w:rFonts w:ascii="Arial" w:hAnsi="Arial"/>
          <w:sz w:val="20"/>
          <w:szCs w:val="20"/>
        </w:rPr>
        <w:t xml:space="preserve"> </w:t>
      </w:r>
      <w:r w:rsidR="008C2A43" w:rsidRPr="00E43FD2">
        <w:rPr>
          <w:rFonts w:ascii="Arial" w:hAnsi="Arial"/>
          <w:sz w:val="20"/>
          <w:szCs w:val="20"/>
        </w:rPr>
        <w:t>the Company’s</w:t>
      </w:r>
      <w:r w:rsidR="007B44F9" w:rsidRPr="00E43FD2">
        <w:rPr>
          <w:rFonts w:ascii="Arial" w:hAnsi="Arial"/>
          <w:sz w:val="20"/>
          <w:szCs w:val="20"/>
        </w:rPr>
        <w:t xml:space="preserve"> anticipated expenditures related to ship construction contracts were $</w:t>
      </w:r>
      <w:r w:rsidR="0035280C" w:rsidRPr="00E43FD2">
        <w:rPr>
          <w:rFonts w:ascii="Arial" w:hAnsi="Arial"/>
          <w:sz w:val="20"/>
          <w:szCs w:val="20"/>
        </w:rPr>
        <w:t>1</w:t>
      </w:r>
      <w:r w:rsidR="008827F1" w:rsidRPr="00E43FD2">
        <w:rPr>
          <w:rFonts w:ascii="Arial" w:hAnsi="Arial"/>
          <w:sz w:val="20"/>
          <w:szCs w:val="20"/>
        </w:rPr>
        <w:t>.</w:t>
      </w:r>
      <w:r w:rsidR="0035280C" w:rsidRPr="00E43FD2">
        <w:rPr>
          <w:rFonts w:ascii="Arial" w:hAnsi="Arial"/>
          <w:sz w:val="20"/>
          <w:szCs w:val="20"/>
        </w:rPr>
        <w:t>6</w:t>
      </w:r>
      <w:r w:rsidR="00C266AD" w:rsidRPr="00E43FD2">
        <w:rPr>
          <w:rFonts w:ascii="Arial" w:hAnsi="Arial"/>
          <w:sz w:val="20"/>
          <w:szCs w:val="20"/>
        </w:rPr>
        <w:t xml:space="preserve"> </w:t>
      </w:r>
      <w:r w:rsidR="007B44F9" w:rsidRPr="00E43FD2">
        <w:rPr>
          <w:rFonts w:ascii="Arial" w:hAnsi="Arial"/>
          <w:sz w:val="20"/>
          <w:szCs w:val="20"/>
        </w:rPr>
        <w:t>billion</w:t>
      </w:r>
      <w:r w:rsidR="00DD407D" w:rsidRPr="00E43FD2">
        <w:rPr>
          <w:rFonts w:ascii="Arial" w:hAnsi="Arial"/>
          <w:sz w:val="20"/>
          <w:szCs w:val="20"/>
        </w:rPr>
        <w:t xml:space="preserve">, </w:t>
      </w:r>
      <w:r w:rsidR="007B44F9" w:rsidRPr="00E43FD2">
        <w:rPr>
          <w:rFonts w:ascii="Arial" w:hAnsi="Arial"/>
          <w:sz w:val="20"/>
          <w:szCs w:val="20"/>
        </w:rPr>
        <w:t>$</w:t>
      </w:r>
      <w:r w:rsidR="0035280C" w:rsidRPr="00E43FD2">
        <w:rPr>
          <w:rFonts w:ascii="Arial" w:hAnsi="Arial"/>
          <w:sz w:val="20"/>
          <w:szCs w:val="20"/>
        </w:rPr>
        <w:t>2</w:t>
      </w:r>
      <w:r w:rsidR="008827F1" w:rsidRPr="00E43FD2">
        <w:rPr>
          <w:rFonts w:ascii="Arial" w:hAnsi="Arial"/>
          <w:sz w:val="20"/>
          <w:szCs w:val="20"/>
        </w:rPr>
        <w:t>.</w:t>
      </w:r>
      <w:r w:rsidR="0035280C" w:rsidRPr="00E43FD2">
        <w:rPr>
          <w:rFonts w:ascii="Arial" w:hAnsi="Arial"/>
          <w:sz w:val="20"/>
          <w:szCs w:val="20"/>
        </w:rPr>
        <w:t>5</w:t>
      </w:r>
      <w:r w:rsidR="007B44F9" w:rsidRPr="00E43FD2">
        <w:rPr>
          <w:rFonts w:ascii="Arial" w:hAnsi="Arial"/>
          <w:sz w:val="20"/>
          <w:szCs w:val="20"/>
        </w:rPr>
        <w:t xml:space="preserve"> billion and $</w:t>
      </w:r>
      <w:r w:rsidR="0035280C" w:rsidRPr="00E43FD2">
        <w:rPr>
          <w:rFonts w:ascii="Arial" w:hAnsi="Arial"/>
          <w:sz w:val="20"/>
          <w:szCs w:val="20"/>
        </w:rPr>
        <w:t>1</w:t>
      </w:r>
      <w:r w:rsidR="008827F1" w:rsidRPr="00E43FD2">
        <w:rPr>
          <w:rFonts w:ascii="Arial" w:hAnsi="Arial"/>
          <w:sz w:val="20"/>
          <w:szCs w:val="20"/>
        </w:rPr>
        <w:t>.</w:t>
      </w:r>
      <w:r w:rsidR="0035280C" w:rsidRPr="00E43FD2">
        <w:rPr>
          <w:rFonts w:ascii="Arial" w:hAnsi="Arial"/>
          <w:sz w:val="20"/>
          <w:szCs w:val="20"/>
        </w:rPr>
        <w:t>4</w:t>
      </w:r>
      <w:r w:rsidR="007B44F9" w:rsidRPr="00E43FD2">
        <w:rPr>
          <w:rFonts w:ascii="Arial" w:hAnsi="Arial"/>
          <w:sz w:val="20"/>
          <w:szCs w:val="20"/>
        </w:rPr>
        <w:t xml:space="preserve"> billion for the years ending December 31, 2022</w:t>
      </w:r>
      <w:r w:rsidR="00DD407D" w:rsidRPr="00E43FD2">
        <w:rPr>
          <w:rFonts w:ascii="Arial" w:hAnsi="Arial"/>
          <w:sz w:val="20"/>
          <w:szCs w:val="20"/>
        </w:rPr>
        <w:t xml:space="preserve">, 2023 </w:t>
      </w:r>
      <w:r w:rsidR="007B44F9" w:rsidRPr="00E43FD2">
        <w:rPr>
          <w:rFonts w:ascii="Arial" w:hAnsi="Arial"/>
          <w:sz w:val="20"/>
          <w:szCs w:val="20"/>
        </w:rPr>
        <w:t>and 202</w:t>
      </w:r>
      <w:r w:rsidR="00DD407D" w:rsidRPr="00E43FD2">
        <w:rPr>
          <w:rFonts w:ascii="Arial" w:hAnsi="Arial"/>
          <w:sz w:val="20"/>
          <w:szCs w:val="20"/>
        </w:rPr>
        <w:t>4</w:t>
      </w:r>
      <w:r w:rsidR="007B44F9" w:rsidRPr="00E43FD2">
        <w:rPr>
          <w:rFonts w:ascii="Arial" w:hAnsi="Arial"/>
          <w:sz w:val="20"/>
          <w:szCs w:val="20"/>
        </w:rPr>
        <w:t>, respectively</w:t>
      </w:r>
      <w:r w:rsidR="007B44F9" w:rsidRPr="009D1FD5">
        <w:rPr>
          <w:rFonts w:ascii="Arial" w:hAnsi="Arial"/>
          <w:sz w:val="20"/>
          <w:szCs w:val="20"/>
        </w:rPr>
        <w:t xml:space="preserve">. The Company has export credit financing in place for the anticipated expenditures related to ship construction </w:t>
      </w:r>
      <w:r w:rsidR="007B44F9" w:rsidRPr="009D1FD5">
        <w:rPr>
          <w:rFonts w:ascii="Arial" w:hAnsi="Arial"/>
          <w:color w:val="auto"/>
          <w:sz w:val="20"/>
          <w:szCs w:val="20"/>
        </w:rPr>
        <w:t xml:space="preserve">contracts of </w:t>
      </w:r>
      <w:r w:rsidR="00D1171A" w:rsidRPr="009D1FD5">
        <w:rPr>
          <w:rFonts w:ascii="Arial" w:hAnsi="Arial"/>
          <w:color w:val="auto"/>
          <w:sz w:val="20"/>
          <w:szCs w:val="20"/>
        </w:rPr>
        <w:t>$</w:t>
      </w:r>
      <w:r w:rsidR="0035280C" w:rsidRPr="009D1FD5">
        <w:rPr>
          <w:rFonts w:ascii="Arial" w:hAnsi="Arial"/>
          <w:color w:val="auto"/>
          <w:sz w:val="20"/>
          <w:szCs w:val="20"/>
        </w:rPr>
        <w:t>1</w:t>
      </w:r>
      <w:r w:rsidR="008827F1" w:rsidRPr="009D1FD5">
        <w:rPr>
          <w:rFonts w:ascii="Arial" w:hAnsi="Arial"/>
          <w:color w:val="auto"/>
          <w:sz w:val="20"/>
          <w:szCs w:val="20"/>
        </w:rPr>
        <w:t>.</w:t>
      </w:r>
      <w:r w:rsidR="0035280C" w:rsidRPr="009D1FD5">
        <w:rPr>
          <w:rFonts w:ascii="Arial" w:hAnsi="Arial"/>
          <w:color w:val="auto"/>
          <w:sz w:val="20"/>
          <w:szCs w:val="20"/>
        </w:rPr>
        <w:t>0</w:t>
      </w:r>
      <w:r w:rsidR="007B44F9" w:rsidRPr="009D1FD5">
        <w:rPr>
          <w:rFonts w:ascii="Arial" w:hAnsi="Arial"/>
          <w:color w:val="auto"/>
          <w:sz w:val="20"/>
          <w:szCs w:val="20"/>
        </w:rPr>
        <w:t xml:space="preserve"> billion</w:t>
      </w:r>
      <w:r w:rsidR="00DD407D" w:rsidRPr="009D1FD5">
        <w:rPr>
          <w:rFonts w:ascii="Arial" w:hAnsi="Arial"/>
          <w:color w:val="auto"/>
          <w:sz w:val="20"/>
          <w:szCs w:val="20"/>
        </w:rPr>
        <w:t>,</w:t>
      </w:r>
      <w:r w:rsidR="00D81C9D" w:rsidRPr="009D1FD5">
        <w:rPr>
          <w:rFonts w:ascii="Arial" w:hAnsi="Arial"/>
          <w:color w:val="auto"/>
          <w:sz w:val="20"/>
          <w:szCs w:val="20"/>
        </w:rPr>
        <w:t xml:space="preserve"> </w:t>
      </w:r>
      <w:r w:rsidR="007B44F9" w:rsidRPr="009D1FD5">
        <w:rPr>
          <w:rFonts w:ascii="Arial" w:hAnsi="Arial"/>
          <w:color w:val="auto"/>
          <w:sz w:val="20"/>
          <w:szCs w:val="20"/>
        </w:rPr>
        <w:t>$</w:t>
      </w:r>
      <w:r w:rsidR="0035280C" w:rsidRPr="009D1FD5">
        <w:rPr>
          <w:rFonts w:ascii="Arial" w:hAnsi="Arial"/>
          <w:color w:val="auto"/>
          <w:sz w:val="20"/>
          <w:szCs w:val="20"/>
        </w:rPr>
        <w:t>2</w:t>
      </w:r>
      <w:r w:rsidR="008827F1" w:rsidRPr="009D1FD5">
        <w:rPr>
          <w:rFonts w:ascii="Arial" w:hAnsi="Arial"/>
          <w:color w:val="auto"/>
          <w:sz w:val="20"/>
          <w:szCs w:val="20"/>
        </w:rPr>
        <w:t>.0</w:t>
      </w:r>
      <w:r w:rsidR="007B44F9" w:rsidRPr="009D1FD5">
        <w:rPr>
          <w:rFonts w:ascii="Arial" w:hAnsi="Arial"/>
          <w:color w:val="auto"/>
          <w:sz w:val="20"/>
          <w:szCs w:val="20"/>
        </w:rPr>
        <w:t xml:space="preserve"> billion and $</w:t>
      </w:r>
      <w:r w:rsidR="009B29F9">
        <w:rPr>
          <w:rFonts w:ascii="Arial" w:hAnsi="Arial"/>
          <w:color w:val="auto"/>
          <w:sz w:val="20"/>
          <w:szCs w:val="20"/>
        </w:rPr>
        <w:t>0.7</w:t>
      </w:r>
      <w:r w:rsidR="007B44F9" w:rsidRPr="009D1FD5">
        <w:rPr>
          <w:rFonts w:ascii="Arial" w:hAnsi="Arial"/>
          <w:color w:val="auto"/>
          <w:sz w:val="20"/>
          <w:szCs w:val="20"/>
        </w:rPr>
        <w:t xml:space="preserve"> billion for </w:t>
      </w:r>
      <w:r w:rsidR="007B44F9" w:rsidRPr="009D1FD5">
        <w:rPr>
          <w:rFonts w:ascii="Arial" w:hAnsi="Arial"/>
          <w:sz w:val="20"/>
          <w:szCs w:val="20"/>
        </w:rPr>
        <w:t>the years ending December 31, 2022</w:t>
      </w:r>
      <w:r w:rsidR="00DD407D" w:rsidRPr="009D1FD5">
        <w:rPr>
          <w:rFonts w:ascii="Arial" w:hAnsi="Arial"/>
          <w:sz w:val="20"/>
          <w:szCs w:val="20"/>
        </w:rPr>
        <w:t>, 2023</w:t>
      </w:r>
      <w:r w:rsidR="007B44F9" w:rsidRPr="009D1FD5">
        <w:rPr>
          <w:rFonts w:ascii="Arial" w:hAnsi="Arial"/>
          <w:sz w:val="20"/>
          <w:szCs w:val="20"/>
        </w:rPr>
        <w:t xml:space="preserve"> and 202</w:t>
      </w:r>
      <w:r w:rsidR="00DD407D" w:rsidRPr="009D1FD5">
        <w:rPr>
          <w:rFonts w:ascii="Arial" w:hAnsi="Arial"/>
          <w:sz w:val="20"/>
          <w:szCs w:val="20"/>
        </w:rPr>
        <w:t>4</w:t>
      </w:r>
      <w:r w:rsidR="007B44F9" w:rsidRPr="009D1FD5">
        <w:rPr>
          <w:rFonts w:ascii="Arial" w:hAnsi="Arial"/>
          <w:sz w:val="20"/>
          <w:szCs w:val="20"/>
        </w:rPr>
        <w:t>, respectively.</w:t>
      </w:r>
      <w:bookmarkEnd w:id="27"/>
      <w:r w:rsidR="00A33BC6" w:rsidRPr="001A5210">
        <w:rPr>
          <w:rFonts w:ascii="Arial" w:hAnsi="Arial"/>
          <w:sz w:val="20"/>
          <w:szCs w:val="20"/>
        </w:rPr>
        <w:t xml:space="preserve"> </w:t>
      </w:r>
      <w:bookmarkEnd w:id="28"/>
    </w:p>
    <w:bookmarkEnd w:id="26"/>
    <w:p w14:paraId="2D7A7A85" w14:textId="77777777" w:rsidR="00D473D1" w:rsidRPr="001A5210" w:rsidRDefault="00D473D1">
      <w:pPr>
        <w:spacing w:line="360" w:lineRule="auto"/>
        <w:jc w:val="both"/>
        <w:rPr>
          <w:rFonts w:ascii="Arial" w:hAnsi="Arial"/>
          <w:sz w:val="20"/>
          <w:szCs w:val="20"/>
        </w:rPr>
      </w:pPr>
    </w:p>
    <w:p w14:paraId="112B59B5" w14:textId="75447DEF" w:rsidR="0035280C" w:rsidRDefault="0035280C" w:rsidP="0035280C">
      <w:pPr>
        <w:spacing w:line="360" w:lineRule="auto"/>
        <w:jc w:val="both"/>
        <w:rPr>
          <w:rFonts w:ascii="Arial" w:hAnsi="Arial"/>
          <w:sz w:val="20"/>
          <w:szCs w:val="20"/>
        </w:rPr>
      </w:pPr>
      <w:bookmarkStart w:id="29" w:name="_Hlk64896961"/>
      <w:r w:rsidRPr="009D1FD5">
        <w:rPr>
          <w:rFonts w:ascii="Arial" w:hAnsi="Arial"/>
          <w:sz w:val="20"/>
          <w:szCs w:val="20"/>
        </w:rPr>
        <w:t>Interest Expense, net is expected to be approximately $</w:t>
      </w:r>
      <w:r w:rsidR="000318C1">
        <w:rPr>
          <w:rFonts w:ascii="Arial" w:hAnsi="Arial"/>
          <w:sz w:val="20"/>
          <w:szCs w:val="20"/>
        </w:rPr>
        <w:t>595</w:t>
      </w:r>
      <w:r w:rsidR="000318C1" w:rsidRPr="009D1FD5">
        <w:rPr>
          <w:rFonts w:ascii="Arial" w:hAnsi="Arial"/>
          <w:sz w:val="20"/>
          <w:szCs w:val="20"/>
        </w:rPr>
        <w:t xml:space="preserve"> </w:t>
      </w:r>
      <w:r w:rsidRPr="009D1FD5">
        <w:rPr>
          <w:rFonts w:ascii="Arial" w:hAnsi="Arial"/>
          <w:sz w:val="20"/>
          <w:szCs w:val="20"/>
        </w:rPr>
        <w:t>million for full year 2022, excluding losses on extinguishment of debt and debt modification costs.</w:t>
      </w:r>
      <w:bookmarkEnd w:id="29"/>
      <w:r w:rsidRPr="009D1FD5">
        <w:rPr>
          <w:rFonts w:ascii="Arial" w:hAnsi="Arial"/>
          <w:sz w:val="20"/>
          <w:szCs w:val="20"/>
        </w:rPr>
        <w:t xml:space="preserve"> Depreciation and Amortization is expected to be approximately $750 million for full year 2022.</w:t>
      </w:r>
    </w:p>
    <w:p w14:paraId="2BCBDFC3" w14:textId="77777777" w:rsidR="00D473D1" w:rsidRPr="0020114E" w:rsidRDefault="00D473D1">
      <w:pPr>
        <w:spacing w:line="276" w:lineRule="auto"/>
        <w:jc w:val="both"/>
        <w:rPr>
          <w:rFonts w:ascii="Arial" w:hAnsi="Arial"/>
          <w:b/>
          <w:bCs/>
          <w:sz w:val="20"/>
          <w:szCs w:val="20"/>
          <w:highlight w:val="yellow"/>
          <w:u w:val="single"/>
        </w:rPr>
      </w:pPr>
    </w:p>
    <w:p w14:paraId="11A17A78" w14:textId="0145D577" w:rsidR="00283D42" w:rsidRPr="0020114E" w:rsidRDefault="00EC14B6">
      <w:pPr>
        <w:spacing w:line="276" w:lineRule="auto"/>
        <w:jc w:val="both"/>
        <w:rPr>
          <w:rFonts w:ascii="Arial" w:eastAsia="Arial" w:hAnsi="Arial" w:cs="Arial"/>
          <w:b/>
          <w:bCs/>
          <w:sz w:val="20"/>
          <w:szCs w:val="20"/>
          <w:u w:val="single"/>
        </w:rPr>
      </w:pPr>
      <w:r w:rsidRPr="0020114E">
        <w:rPr>
          <w:rFonts w:ascii="Arial" w:hAnsi="Arial"/>
          <w:b/>
          <w:bCs/>
          <w:sz w:val="20"/>
          <w:szCs w:val="20"/>
          <w:u w:val="single"/>
        </w:rPr>
        <w:t>Conference Call</w:t>
      </w:r>
    </w:p>
    <w:p w14:paraId="7AE4149F" w14:textId="77777777" w:rsidR="00283D42" w:rsidRPr="0020114E" w:rsidRDefault="00283D42">
      <w:pPr>
        <w:spacing w:line="276" w:lineRule="auto"/>
        <w:jc w:val="both"/>
        <w:rPr>
          <w:rFonts w:ascii="Arial" w:eastAsia="Arial" w:hAnsi="Arial" w:cs="Arial"/>
          <w:b/>
          <w:bCs/>
          <w:sz w:val="20"/>
          <w:szCs w:val="20"/>
        </w:rPr>
      </w:pPr>
    </w:p>
    <w:p w14:paraId="1AF81F76" w14:textId="38066993" w:rsidR="00283D42" w:rsidRPr="00646E2A" w:rsidRDefault="00EC14B6">
      <w:pPr>
        <w:spacing w:line="360" w:lineRule="auto"/>
        <w:jc w:val="both"/>
        <w:rPr>
          <w:rFonts w:ascii="Arial" w:eastAsia="Arial" w:hAnsi="Arial" w:cs="Arial"/>
          <w:sz w:val="20"/>
          <w:szCs w:val="20"/>
        </w:rPr>
      </w:pPr>
      <w:r w:rsidRPr="0020114E">
        <w:rPr>
          <w:rFonts w:ascii="Arial" w:hAnsi="Arial"/>
          <w:sz w:val="20"/>
          <w:szCs w:val="20"/>
        </w:rPr>
        <w:t xml:space="preserve">The Company has scheduled a conference call for </w:t>
      </w:r>
      <w:r w:rsidR="0020114E" w:rsidRPr="0020114E">
        <w:rPr>
          <w:rFonts w:ascii="Arial" w:hAnsi="Arial"/>
          <w:sz w:val="20"/>
          <w:szCs w:val="20"/>
        </w:rPr>
        <w:t>Thursday</w:t>
      </w:r>
      <w:r w:rsidRPr="0020114E">
        <w:rPr>
          <w:rFonts w:ascii="Arial" w:hAnsi="Arial"/>
          <w:sz w:val="20"/>
          <w:szCs w:val="20"/>
        </w:rPr>
        <w:t xml:space="preserve">, </w:t>
      </w:r>
      <w:r w:rsidR="0020114E" w:rsidRPr="0020114E">
        <w:rPr>
          <w:rFonts w:ascii="Arial" w:hAnsi="Arial"/>
          <w:sz w:val="20"/>
          <w:szCs w:val="20"/>
        </w:rPr>
        <w:t>February 24</w:t>
      </w:r>
      <w:r w:rsidR="00D473D1" w:rsidRPr="0020114E">
        <w:rPr>
          <w:rFonts w:ascii="Arial" w:hAnsi="Arial"/>
          <w:sz w:val="20"/>
          <w:szCs w:val="20"/>
        </w:rPr>
        <w:t>, 202</w:t>
      </w:r>
      <w:r w:rsidR="0020114E" w:rsidRPr="0020114E">
        <w:rPr>
          <w:rFonts w:ascii="Arial" w:hAnsi="Arial"/>
          <w:sz w:val="20"/>
          <w:szCs w:val="20"/>
        </w:rPr>
        <w:t>2</w:t>
      </w:r>
      <w:r w:rsidR="005F3851" w:rsidRPr="0020114E">
        <w:rPr>
          <w:rFonts w:ascii="Arial" w:hAnsi="Arial"/>
          <w:sz w:val="20"/>
          <w:szCs w:val="20"/>
        </w:rPr>
        <w:t xml:space="preserve"> </w:t>
      </w:r>
      <w:r w:rsidRPr="0020114E">
        <w:rPr>
          <w:rFonts w:ascii="Arial" w:hAnsi="Arial"/>
          <w:sz w:val="20"/>
          <w:szCs w:val="20"/>
        </w:rPr>
        <w:t>at 1</w:t>
      </w:r>
      <w:r w:rsidR="00623B5F" w:rsidRPr="0020114E">
        <w:rPr>
          <w:rFonts w:ascii="Arial" w:hAnsi="Arial"/>
          <w:sz w:val="20"/>
          <w:szCs w:val="20"/>
        </w:rPr>
        <w:t>0</w:t>
      </w:r>
      <w:r w:rsidRPr="0020114E">
        <w:rPr>
          <w:rFonts w:ascii="Arial" w:hAnsi="Arial"/>
          <w:sz w:val="20"/>
          <w:szCs w:val="20"/>
        </w:rPr>
        <w:t>:</w:t>
      </w:r>
      <w:r w:rsidR="008D5FAF" w:rsidRPr="0020114E">
        <w:rPr>
          <w:rFonts w:ascii="Arial" w:hAnsi="Arial"/>
          <w:sz w:val="20"/>
          <w:szCs w:val="20"/>
        </w:rPr>
        <w:t>0</w:t>
      </w:r>
      <w:r w:rsidR="00C62CDF" w:rsidRPr="0020114E">
        <w:rPr>
          <w:rFonts w:ascii="Arial" w:hAnsi="Arial"/>
          <w:sz w:val="20"/>
          <w:szCs w:val="20"/>
        </w:rPr>
        <w:t>0</w:t>
      </w:r>
      <w:r w:rsidRPr="0020114E">
        <w:rPr>
          <w:rFonts w:ascii="Arial" w:hAnsi="Arial"/>
          <w:sz w:val="20"/>
          <w:szCs w:val="20"/>
        </w:rPr>
        <w:t xml:space="preserve"> a.m. Eastern Time to discuss </w:t>
      </w:r>
      <w:r w:rsidR="0020114E" w:rsidRPr="0020114E">
        <w:rPr>
          <w:rFonts w:ascii="Arial" w:hAnsi="Arial"/>
          <w:sz w:val="20"/>
          <w:szCs w:val="20"/>
        </w:rPr>
        <w:t xml:space="preserve">fourth </w:t>
      </w:r>
      <w:r w:rsidRPr="0020114E">
        <w:rPr>
          <w:rFonts w:ascii="Arial" w:hAnsi="Arial"/>
          <w:sz w:val="20"/>
          <w:szCs w:val="20"/>
        </w:rPr>
        <w:t>quarter</w:t>
      </w:r>
      <w:r w:rsidR="0020114E" w:rsidRPr="0020114E">
        <w:rPr>
          <w:rFonts w:ascii="Arial" w:hAnsi="Arial"/>
          <w:sz w:val="20"/>
          <w:szCs w:val="20"/>
        </w:rPr>
        <w:t xml:space="preserve"> and full year</w:t>
      </w:r>
      <w:r w:rsidR="00D473D1" w:rsidRPr="0020114E">
        <w:rPr>
          <w:rFonts w:ascii="Arial" w:hAnsi="Arial"/>
          <w:sz w:val="20"/>
          <w:szCs w:val="20"/>
        </w:rPr>
        <w:t xml:space="preserve"> </w:t>
      </w:r>
      <w:r w:rsidR="00FB48C6" w:rsidRPr="0020114E">
        <w:rPr>
          <w:rFonts w:ascii="Arial" w:hAnsi="Arial"/>
          <w:sz w:val="20"/>
          <w:szCs w:val="20"/>
        </w:rPr>
        <w:t>20</w:t>
      </w:r>
      <w:r w:rsidR="00EA4C05" w:rsidRPr="0020114E">
        <w:rPr>
          <w:rFonts w:ascii="Arial" w:hAnsi="Arial"/>
          <w:sz w:val="20"/>
          <w:szCs w:val="20"/>
        </w:rPr>
        <w:t>2</w:t>
      </w:r>
      <w:r w:rsidR="00C62CDF" w:rsidRPr="0020114E">
        <w:rPr>
          <w:rFonts w:ascii="Arial" w:hAnsi="Arial"/>
          <w:sz w:val="20"/>
          <w:szCs w:val="20"/>
        </w:rPr>
        <w:t>1</w:t>
      </w:r>
      <w:r w:rsidRPr="0020114E">
        <w:rPr>
          <w:rFonts w:ascii="Arial" w:hAnsi="Arial"/>
          <w:sz w:val="20"/>
          <w:szCs w:val="20"/>
        </w:rPr>
        <w:t xml:space="preserve"> results</w:t>
      </w:r>
      <w:r w:rsidR="006A5508" w:rsidRPr="0020114E">
        <w:rPr>
          <w:rFonts w:ascii="Arial" w:hAnsi="Arial"/>
          <w:sz w:val="20"/>
          <w:szCs w:val="20"/>
        </w:rPr>
        <w:t xml:space="preserve"> and</w:t>
      </w:r>
      <w:r w:rsidR="0099335F" w:rsidRPr="0020114E">
        <w:rPr>
          <w:rFonts w:ascii="Arial" w:hAnsi="Arial"/>
          <w:sz w:val="20"/>
          <w:szCs w:val="20"/>
        </w:rPr>
        <w:t xml:space="preserve"> provide a business update</w:t>
      </w:r>
      <w:r w:rsidRPr="0020114E">
        <w:rPr>
          <w:rFonts w:ascii="Arial" w:hAnsi="Arial"/>
          <w:sz w:val="20"/>
          <w:szCs w:val="20"/>
        </w:rPr>
        <w:t>. A link to the live webcast</w:t>
      </w:r>
      <w:r w:rsidR="00CD6DA8" w:rsidRPr="0020114E">
        <w:rPr>
          <w:rFonts w:ascii="Arial" w:hAnsi="Arial"/>
          <w:sz w:val="20"/>
          <w:szCs w:val="20"/>
        </w:rPr>
        <w:t xml:space="preserve"> </w:t>
      </w:r>
      <w:r w:rsidR="00CD6DA8" w:rsidRPr="0020114E">
        <w:rPr>
          <w:rFonts w:ascii="Arial" w:eastAsia="MS Mincho" w:hAnsi="Arial" w:cs="Arial"/>
          <w:sz w:val="20"/>
          <w:szCs w:val="20"/>
          <w:lang w:eastAsia="ja-JP"/>
        </w:rPr>
        <w:t>along with a slide presentation</w:t>
      </w:r>
      <w:r w:rsidR="00D36B84" w:rsidRPr="0020114E">
        <w:rPr>
          <w:rFonts w:ascii="Arial" w:eastAsia="MS Mincho" w:hAnsi="Arial" w:cs="Arial"/>
          <w:sz w:val="20"/>
          <w:szCs w:val="20"/>
          <w:lang w:eastAsia="ja-JP"/>
        </w:rPr>
        <w:t xml:space="preserve"> </w:t>
      </w:r>
      <w:r w:rsidRPr="0020114E">
        <w:rPr>
          <w:rFonts w:ascii="Arial" w:hAnsi="Arial"/>
          <w:sz w:val="20"/>
          <w:szCs w:val="20"/>
        </w:rPr>
        <w:t xml:space="preserve">can be found on the Company’s Investor Relations website at </w:t>
      </w:r>
      <w:hyperlink r:id="rId10" w:history="1">
        <w:r w:rsidR="00562BE3" w:rsidRPr="00F47726">
          <w:rPr>
            <w:rStyle w:val="Hipervnculo"/>
            <w:rFonts w:ascii="Arial" w:eastAsia="Arial" w:hAnsi="Arial" w:cs="Arial"/>
            <w:sz w:val="20"/>
            <w:szCs w:val="20"/>
          </w:rPr>
          <w:t>https://www.nclhltd.com/investors</w:t>
        </w:r>
      </w:hyperlink>
      <w:r w:rsidR="00BA73D7" w:rsidRPr="0020114E">
        <w:rPr>
          <w:rStyle w:val="Hyperlink0"/>
          <w:color w:val="auto"/>
          <w:u w:val="none"/>
        </w:rPr>
        <w:t>.  A replay of the conference call</w:t>
      </w:r>
      <w:r w:rsidRPr="0020114E">
        <w:rPr>
          <w:rFonts w:ascii="Arial" w:hAnsi="Arial"/>
          <w:color w:val="auto"/>
          <w:sz w:val="20"/>
          <w:szCs w:val="20"/>
        </w:rPr>
        <w:t xml:space="preserve"> </w:t>
      </w:r>
      <w:r w:rsidRPr="0020114E">
        <w:rPr>
          <w:rFonts w:ascii="Arial" w:hAnsi="Arial"/>
          <w:sz w:val="20"/>
          <w:szCs w:val="20"/>
        </w:rPr>
        <w:t>will also be available on the website for 30 days after the call.</w:t>
      </w:r>
    </w:p>
    <w:p w14:paraId="3BDBA38C" w14:textId="6DF0E9FA" w:rsidR="00AF7703" w:rsidRPr="00646E2A" w:rsidRDefault="00AF7703" w:rsidP="00B0580E">
      <w:pPr>
        <w:spacing w:line="360" w:lineRule="auto"/>
        <w:jc w:val="both"/>
        <w:rPr>
          <w:rFonts w:ascii="Arial" w:eastAsia="Arial" w:hAnsi="Arial" w:cs="Arial"/>
          <w:sz w:val="20"/>
          <w:szCs w:val="20"/>
        </w:rPr>
      </w:pPr>
    </w:p>
    <w:p w14:paraId="05D1426F" w14:textId="77777777" w:rsidR="008748B3" w:rsidRPr="00646E2A" w:rsidRDefault="008748B3" w:rsidP="008748B3">
      <w:pPr>
        <w:pStyle w:val="Title2"/>
        <w:jc w:val="both"/>
        <w:rPr>
          <w:rFonts w:ascii="Arial" w:hAnsi="Arial" w:cs="Arial"/>
          <w:sz w:val="20"/>
          <w:szCs w:val="20"/>
        </w:rPr>
      </w:pPr>
      <w:r w:rsidRPr="00646E2A">
        <w:rPr>
          <w:rFonts w:ascii="Arial" w:hAnsi="Arial" w:cs="Arial"/>
          <w:sz w:val="20"/>
          <w:szCs w:val="20"/>
        </w:rPr>
        <w:t>About Norwegian Cruise Line Holdings Ltd.</w:t>
      </w:r>
    </w:p>
    <w:p w14:paraId="47EE624F" w14:textId="1991D85E" w:rsidR="008748B3" w:rsidRPr="00646E2A" w:rsidRDefault="00D31ECB" w:rsidP="008748B3">
      <w:pPr>
        <w:spacing w:after="160" w:line="259" w:lineRule="auto"/>
        <w:jc w:val="both"/>
        <w:rPr>
          <w:rFonts w:ascii="Arial" w:hAnsi="Arial"/>
          <w:sz w:val="20"/>
          <w:szCs w:val="20"/>
        </w:rPr>
      </w:pPr>
      <w:r w:rsidRPr="00646E2A">
        <w:rPr>
          <w:rFonts w:ascii="Arial" w:hAnsi="Arial"/>
          <w:sz w:val="20"/>
          <w:szCs w:val="20"/>
        </w:rPr>
        <w:t>Norwegian Cruise Line Holdings Ltd. (NYSE: NCLH) is a leading global cruise company which operates the Norwegian Cruise Line, Oceania Cruises and Regent Seven Seas Cruises brands. With a combined fleet of 28 ships with nearly 60,000 berths, these brands offer itineraries to more than 490 destinations worldwide. The Company has nine additional ships scheduled for delivery through 2027, comprising approximately 24,000 berths.</w:t>
      </w:r>
    </w:p>
    <w:p w14:paraId="72344C7E" w14:textId="77777777" w:rsidR="00D31ECB" w:rsidRPr="00646E2A" w:rsidRDefault="00D31ECB" w:rsidP="00D31ECB">
      <w:pPr>
        <w:pStyle w:val="Title2"/>
        <w:jc w:val="both"/>
        <w:rPr>
          <w:rFonts w:ascii="Arial" w:hAnsi="Arial" w:cs="Arial"/>
          <w:sz w:val="20"/>
          <w:szCs w:val="20"/>
        </w:rPr>
      </w:pPr>
      <w:r w:rsidRPr="00646E2A">
        <w:rPr>
          <w:rFonts w:ascii="Arial" w:hAnsi="Arial" w:cs="Arial"/>
          <w:sz w:val="20"/>
          <w:szCs w:val="20"/>
        </w:rPr>
        <w:t xml:space="preserve">About </w:t>
      </w:r>
      <w:proofErr w:type="spellStart"/>
      <w:r w:rsidRPr="00646E2A">
        <w:rPr>
          <w:rFonts w:ascii="Arial" w:hAnsi="Arial" w:cs="Arial"/>
          <w:sz w:val="20"/>
          <w:szCs w:val="20"/>
        </w:rPr>
        <w:t>SailSAFE</w:t>
      </w:r>
      <w:proofErr w:type="spellEnd"/>
      <w:r w:rsidRPr="00646E2A">
        <w:rPr>
          <w:rFonts w:ascii="Arial" w:hAnsi="Arial" w:cs="Arial"/>
          <w:sz w:val="20"/>
          <w:szCs w:val="20"/>
        </w:rPr>
        <w:t xml:space="preserve"> </w:t>
      </w:r>
    </w:p>
    <w:p w14:paraId="672C8EA1" w14:textId="77777777" w:rsidR="008D5FAF" w:rsidRPr="00646E2A" w:rsidRDefault="008D5FAF" w:rsidP="008D5FAF">
      <w:pPr>
        <w:spacing w:after="160" w:line="259" w:lineRule="auto"/>
        <w:jc w:val="both"/>
        <w:rPr>
          <w:rFonts w:ascii="Arial" w:hAnsi="Arial"/>
          <w:sz w:val="20"/>
          <w:szCs w:val="20"/>
        </w:rPr>
      </w:pPr>
      <w:r w:rsidRPr="00646E2A">
        <w:rPr>
          <w:rFonts w:ascii="Arial" w:hAnsi="Arial"/>
          <w:sz w:val="20"/>
          <w:szCs w:val="20"/>
        </w:rPr>
        <w:t xml:space="preserve">Norwegian Cruise Line Holdings Ltd. established its </w:t>
      </w:r>
      <w:proofErr w:type="spellStart"/>
      <w:r w:rsidRPr="00646E2A">
        <w:rPr>
          <w:rFonts w:ascii="Arial" w:hAnsi="Arial"/>
          <w:sz w:val="20"/>
          <w:szCs w:val="20"/>
        </w:rPr>
        <w:t>SailSAFE</w:t>
      </w:r>
      <w:proofErr w:type="spellEnd"/>
      <w:r w:rsidRPr="00646E2A">
        <w:rPr>
          <w:rFonts w:ascii="Arial" w:hAnsi="Arial"/>
          <w:sz w:val="20"/>
          <w:szCs w:val="20"/>
        </w:rPr>
        <w:t xml:space="preserve"> health and safety program in response to the unique challenges of the COVID-19 global pandemic to protect guests, crew and communities visited. </w:t>
      </w:r>
      <w:proofErr w:type="spellStart"/>
      <w:r w:rsidRPr="00646E2A">
        <w:rPr>
          <w:rFonts w:ascii="Arial" w:hAnsi="Arial"/>
          <w:sz w:val="20"/>
          <w:szCs w:val="20"/>
        </w:rPr>
        <w:t>SailSAFE</w:t>
      </w:r>
      <w:proofErr w:type="spellEnd"/>
      <w:r w:rsidRPr="00646E2A">
        <w:rPr>
          <w:rFonts w:ascii="Arial" w:hAnsi="Arial"/>
          <w:sz w:val="20"/>
          <w:szCs w:val="20"/>
        </w:rPr>
        <w:t xml:space="preserve"> is a robust and comprehensive health and safety strategy with new and enhanced protocols to create multiple layers of protection against COVID-19. This science-backed plan for a safe and healthy return to cruising was developed in conjunction with a diverse group of globally recognized experts and will be continuously improved, modified and refined using the best available science and technology. For more information on the </w:t>
      </w:r>
      <w:proofErr w:type="spellStart"/>
      <w:r w:rsidRPr="00646E2A">
        <w:rPr>
          <w:rFonts w:ascii="Arial" w:hAnsi="Arial"/>
          <w:sz w:val="20"/>
          <w:szCs w:val="20"/>
        </w:rPr>
        <w:t>SailSAFE</w:t>
      </w:r>
      <w:proofErr w:type="spellEnd"/>
      <w:r w:rsidRPr="00646E2A">
        <w:rPr>
          <w:rFonts w:ascii="Arial" w:hAnsi="Arial"/>
          <w:sz w:val="20"/>
          <w:szCs w:val="20"/>
        </w:rPr>
        <w:t xml:space="preserve"> health and safety program please visit </w:t>
      </w:r>
      <w:hyperlink r:id="rId11" w:history="1">
        <w:r w:rsidRPr="00646E2A">
          <w:rPr>
            <w:rStyle w:val="Hipervnculo"/>
            <w:rFonts w:ascii="Arial" w:hAnsi="Arial"/>
            <w:sz w:val="20"/>
            <w:szCs w:val="20"/>
            <w:bdr w:val="none" w:sz="0" w:space="0" w:color="auto" w:frame="1"/>
          </w:rPr>
          <w:t>http://www.nclhltd.com/Health-and-Safety</w:t>
        </w:r>
      </w:hyperlink>
      <w:r w:rsidRPr="00646E2A">
        <w:rPr>
          <w:rFonts w:ascii="Arial" w:hAnsi="Arial"/>
          <w:sz w:val="20"/>
          <w:szCs w:val="20"/>
          <w:bdr w:val="none" w:sz="0" w:space="0" w:color="auto" w:frame="1"/>
        </w:rPr>
        <w:t>.</w:t>
      </w:r>
    </w:p>
    <w:p w14:paraId="29CB6F6A" w14:textId="77777777" w:rsidR="00D31ECB" w:rsidRPr="00646E2A" w:rsidRDefault="00D31ECB" w:rsidP="00D31ECB">
      <w:pPr>
        <w:pStyle w:val="Title2"/>
        <w:jc w:val="both"/>
        <w:rPr>
          <w:rFonts w:ascii="Arial" w:hAnsi="Arial" w:cs="Arial"/>
          <w:sz w:val="20"/>
          <w:szCs w:val="20"/>
        </w:rPr>
      </w:pPr>
      <w:r w:rsidRPr="00646E2A">
        <w:rPr>
          <w:rFonts w:ascii="Arial" w:hAnsi="Arial" w:cs="Arial"/>
          <w:sz w:val="20"/>
          <w:szCs w:val="20"/>
        </w:rPr>
        <w:lastRenderedPageBreak/>
        <w:t xml:space="preserve">About the </w:t>
      </w:r>
      <w:proofErr w:type="spellStart"/>
      <w:r w:rsidRPr="00646E2A">
        <w:rPr>
          <w:rFonts w:ascii="Arial" w:hAnsi="Arial" w:cs="Arial"/>
          <w:sz w:val="20"/>
          <w:szCs w:val="20"/>
        </w:rPr>
        <w:t>SailSAFE</w:t>
      </w:r>
      <w:proofErr w:type="spellEnd"/>
      <w:r w:rsidRPr="00646E2A">
        <w:rPr>
          <w:rFonts w:ascii="Arial" w:hAnsi="Arial" w:cs="Arial"/>
          <w:sz w:val="20"/>
          <w:szCs w:val="20"/>
        </w:rPr>
        <w:t xml:space="preserve"> Global Health and Wellness Council</w:t>
      </w:r>
    </w:p>
    <w:p w14:paraId="3E616610" w14:textId="6FE58428" w:rsidR="008D5FAF" w:rsidRPr="00646E2A" w:rsidRDefault="008D5FAF" w:rsidP="008D5FAF">
      <w:pPr>
        <w:jc w:val="both"/>
        <w:rPr>
          <w:rFonts w:ascii="Arial" w:hAnsi="Arial"/>
          <w:sz w:val="20"/>
          <w:szCs w:val="20"/>
        </w:rPr>
      </w:pPr>
      <w:r w:rsidRPr="00646E2A">
        <w:rPr>
          <w:rFonts w:ascii="Arial" w:hAnsi="Arial"/>
          <w:sz w:val="20"/>
          <w:szCs w:val="20"/>
        </w:rPr>
        <w:t xml:space="preserve">The </w:t>
      </w:r>
      <w:proofErr w:type="spellStart"/>
      <w:r w:rsidRPr="00646E2A">
        <w:rPr>
          <w:rFonts w:ascii="Arial" w:hAnsi="Arial"/>
          <w:sz w:val="20"/>
          <w:szCs w:val="20"/>
        </w:rPr>
        <w:t>SailSAFE</w:t>
      </w:r>
      <w:proofErr w:type="spellEnd"/>
      <w:r w:rsidRPr="00646E2A">
        <w:rPr>
          <w:rFonts w:ascii="Arial" w:hAnsi="Arial"/>
          <w:sz w:val="20"/>
          <w:szCs w:val="20"/>
        </w:rPr>
        <w:t xml:space="preserve"> Global Health and Wellness Council (“Council”) was established by Norwegian Cruise Line Holdings Ltd. to provide expert advice on the implementation, compliance with and continuous improvement of the Company’s </w:t>
      </w:r>
      <w:proofErr w:type="spellStart"/>
      <w:r w:rsidRPr="00646E2A">
        <w:rPr>
          <w:rFonts w:ascii="Arial" w:hAnsi="Arial"/>
          <w:sz w:val="20"/>
          <w:szCs w:val="20"/>
        </w:rPr>
        <w:t>SailSAFE</w:t>
      </w:r>
      <w:proofErr w:type="spellEnd"/>
      <w:r w:rsidRPr="00646E2A">
        <w:rPr>
          <w:rFonts w:ascii="Arial" w:hAnsi="Arial"/>
          <w:sz w:val="20"/>
          <w:szCs w:val="20"/>
        </w:rPr>
        <w:t xml:space="preserve"> health and safety program. The Council will complement the work of the Healthy Sail Panel and continuously evaluate and identify ways to improve health and safety standards, utilizing the best technologies and information available. The Council is </w:t>
      </w:r>
      <w:proofErr w:type="gramStart"/>
      <w:r w:rsidRPr="00646E2A">
        <w:rPr>
          <w:rFonts w:ascii="Arial" w:hAnsi="Arial"/>
          <w:sz w:val="20"/>
          <w:szCs w:val="20"/>
        </w:rPr>
        <w:t>cross-functional</w:t>
      </w:r>
      <w:proofErr w:type="gramEnd"/>
      <w:r w:rsidRPr="00646E2A">
        <w:rPr>
          <w:rFonts w:ascii="Arial" w:hAnsi="Arial"/>
          <w:sz w:val="20"/>
          <w:szCs w:val="20"/>
        </w:rPr>
        <w:t xml:space="preserve">, diverse and extensively experienced, comprised of </w:t>
      </w:r>
      <w:r w:rsidR="005358F9" w:rsidRPr="00646E2A">
        <w:rPr>
          <w:rFonts w:ascii="Arial" w:hAnsi="Arial"/>
          <w:sz w:val="20"/>
          <w:szCs w:val="20"/>
        </w:rPr>
        <w:t xml:space="preserve">four </w:t>
      </w:r>
      <w:r w:rsidRPr="00646E2A">
        <w:rPr>
          <w:rFonts w:ascii="Arial" w:hAnsi="Arial"/>
          <w:sz w:val="20"/>
          <w:szCs w:val="20"/>
        </w:rPr>
        <w:t>experts at the forefront of their fields and led by Chairman of the Council, Dr. Scott Gottlieb, former commissioner of the U.S. Food and Drug Administration.</w:t>
      </w:r>
    </w:p>
    <w:p w14:paraId="4AAC0B11" w14:textId="533193D8" w:rsidR="00FE722A" w:rsidRPr="00646E2A" w:rsidRDefault="00FE722A" w:rsidP="00FE722A">
      <w:pPr>
        <w:spacing w:line="360" w:lineRule="auto"/>
        <w:jc w:val="both"/>
        <w:rPr>
          <w:rFonts w:ascii="Arial" w:hAnsi="Arial" w:cs="Arial"/>
          <w:sz w:val="20"/>
          <w:szCs w:val="20"/>
        </w:rPr>
      </w:pPr>
    </w:p>
    <w:p w14:paraId="73A0CB9B" w14:textId="0E4971F2" w:rsidR="00283D42" w:rsidRPr="00646E2A" w:rsidRDefault="00EC14B6">
      <w:pPr>
        <w:spacing w:line="360" w:lineRule="auto"/>
        <w:jc w:val="both"/>
        <w:rPr>
          <w:rFonts w:ascii="Arial" w:eastAsia="Arial" w:hAnsi="Arial" w:cs="Arial"/>
          <w:b/>
          <w:bCs/>
          <w:sz w:val="20"/>
          <w:szCs w:val="20"/>
          <w:u w:val="single"/>
        </w:rPr>
      </w:pPr>
      <w:r w:rsidRPr="00646E2A">
        <w:rPr>
          <w:rFonts w:ascii="Arial" w:hAnsi="Arial"/>
          <w:b/>
          <w:bCs/>
          <w:sz w:val="20"/>
          <w:szCs w:val="20"/>
          <w:u w:val="single"/>
        </w:rPr>
        <w:t>Terminology</w:t>
      </w:r>
      <w:r w:rsidR="00924029" w:rsidRPr="00646E2A">
        <w:rPr>
          <w:rFonts w:ascii="Arial" w:hAnsi="Arial"/>
          <w:b/>
          <w:bCs/>
          <w:sz w:val="20"/>
          <w:szCs w:val="20"/>
        </w:rPr>
        <w:t xml:space="preserve"> </w:t>
      </w:r>
    </w:p>
    <w:p w14:paraId="26CAC79D" w14:textId="77777777" w:rsidR="00806D8F" w:rsidRPr="00646E2A" w:rsidRDefault="00806D8F">
      <w:pPr>
        <w:tabs>
          <w:tab w:val="left" w:pos="1170"/>
        </w:tabs>
        <w:spacing w:line="360" w:lineRule="auto"/>
        <w:jc w:val="both"/>
        <w:rPr>
          <w:rFonts w:ascii="Arial" w:hAnsi="Arial"/>
          <w:i/>
          <w:iCs/>
          <w:sz w:val="20"/>
          <w:szCs w:val="20"/>
        </w:rPr>
      </w:pPr>
    </w:p>
    <w:p w14:paraId="347F0632" w14:textId="6321E7E9" w:rsidR="00545B2E" w:rsidRPr="00646E2A" w:rsidRDefault="00545B2E">
      <w:pPr>
        <w:tabs>
          <w:tab w:val="left" w:pos="1170"/>
        </w:tabs>
        <w:spacing w:line="360" w:lineRule="auto"/>
        <w:jc w:val="both"/>
        <w:rPr>
          <w:rFonts w:ascii="Arial" w:hAnsi="Arial"/>
          <w:sz w:val="20"/>
          <w:szCs w:val="20"/>
        </w:rPr>
      </w:pPr>
      <w:r w:rsidRPr="00646E2A">
        <w:rPr>
          <w:rFonts w:ascii="Arial" w:hAnsi="Arial"/>
          <w:i/>
          <w:iCs/>
          <w:sz w:val="20"/>
          <w:szCs w:val="20"/>
        </w:rPr>
        <w:t>Adjusted EBITDA</w:t>
      </w:r>
      <w:r w:rsidRPr="00646E2A">
        <w:rPr>
          <w:rFonts w:ascii="Arial" w:hAnsi="Arial"/>
          <w:sz w:val="20"/>
          <w:szCs w:val="20"/>
        </w:rPr>
        <w:t>.  EBITDA adjusted for other income</w:t>
      </w:r>
      <w:r w:rsidR="009B1A1E" w:rsidRPr="00646E2A">
        <w:rPr>
          <w:rFonts w:ascii="Arial" w:hAnsi="Arial"/>
          <w:sz w:val="20"/>
          <w:szCs w:val="20"/>
        </w:rPr>
        <w:t xml:space="preserve"> (expense)</w:t>
      </w:r>
      <w:r w:rsidRPr="00646E2A">
        <w:rPr>
          <w:rFonts w:ascii="Arial" w:hAnsi="Arial"/>
          <w:sz w:val="20"/>
          <w:szCs w:val="20"/>
        </w:rPr>
        <w:t>, net and other supplemental adjustments.</w:t>
      </w:r>
    </w:p>
    <w:p w14:paraId="081D8BED" w14:textId="77777777" w:rsidR="00415F9F" w:rsidRPr="00646E2A" w:rsidRDefault="00415F9F">
      <w:pPr>
        <w:tabs>
          <w:tab w:val="left" w:pos="1170"/>
        </w:tabs>
        <w:spacing w:line="360" w:lineRule="auto"/>
        <w:jc w:val="both"/>
        <w:rPr>
          <w:rFonts w:ascii="Arial" w:hAnsi="Arial"/>
          <w:sz w:val="20"/>
          <w:szCs w:val="20"/>
        </w:rPr>
      </w:pPr>
    </w:p>
    <w:p w14:paraId="708DBBD1" w14:textId="6ECCE5C6" w:rsidR="00545B2E" w:rsidRPr="00646E2A" w:rsidRDefault="00545B2E">
      <w:pPr>
        <w:tabs>
          <w:tab w:val="left" w:pos="1170"/>
        </w:tabs>
        <w:spacing w:line="360" w:lineRule="auto"/>
        <w:jc w:val="both"/>
        <w:rPr>
          <w:rFonts w:ascii="Arial" w:eastAsia="Arial" w:hAnsi="Arial" w:cs="Arial"/>
          <w:i/>
          <w:iCs/>
          <w:sz w:val="20"/>
          <w:szCs w:val="20"/>
        </w:rPr>
      </w:pPr>
      <w:r w:rsidRPr="00646E2A">
        <w:rPr>
          <w:rFonts w:ascii="Arial" w:hAnsi="Arial"/>
          <w:i/>
          <w:iCs/>
          <w:sz w:val="20"/>
          <w:szCs w:val="20"/>
        </w:rPr>
        <w:t xml:space="preserve">Adjusted EPS. </w:t>
      </w:r>
      <w:r w:rsidRPr="00646E2A">
        <w:rPr>
          <w:rFonts w:ascii="Arial" w:hAnsi="Arial"/>
          <w:sz w:val="20"/>
          <w:szCs w:val="20"/>
        </w:rPr>
        <w:t xml:space="preserve">Adjusted Net </w:t>
      </w:r>
      <w:r w:rsidR="002263EE" w:rsidRPr="00646E2A">
        <w:rPr>
          <w:rFonts w:ascii="Arial" w:hAnsi="Arial"/>
          <w:sz w:val="20"/>
          <w:szCs w:val="20"/>
        </w:rPr>
        <w:t>Loss</w:t>
      </w:r>
      <w:r w:rsidRPr="00646E2A">
        <w:rPr>
          <w:rFonts w:ascii="Arial" w:hAnsi="Arial"/>
          <w:sz w:val="20"/>
          <w:szCs w:val="20"/>
        </w:rPr>
        <w:t xml:space="preserve"> divided by the number of diluted weighted-average shares outstanding.</w:t>
      </w:r>
    </w:p>
    <w:p w14:paraId="059B92AB" w14:textId="77777777" w:rsidR="00545B2E" w:rsidRPr="00646E2A" w:rsidRDefault="00545B2E">
      <w:pPr>
        <w:tabs>
          <w:tab w:val="left" w:pos="1170"/>
        </w:tabs>
        <w:spacing w:line="360" w:lineRule="auto"/>
        <w:jc w:val="both"/>
        <w:rPr>
          <w:rFonts w:ascii="Arial" w:eastAsia="Arial" w:hAnsi="Arial" w:cs="Arial"/>
          <w:i/>
          <w:iCs/>
          <w:sz w:val="20"/>
          <w:szCs w:val="20"/>
        </w:rPr>
      </w:pPr>
    </w:p>
    <w:p w14:paraId="3C56658A" w14:textId="77777777" w:rsidR="00545B2E" w:rsidRPr="00646E2A" w:rsidRDefault="00545B2E">
      <w:pPr>
        <w:tabs>
          <w:tab w:val="left" w:pos="1170"/>
        </w:tabs>
        <w:spacing w:line="360" w:lineRule="auto"/>
        <w:jc w:val="both"/>
        <w:rPr>
          <w:rFonts w:ascii="Arial" w:eastAsia="Arial" w:hAnsi="Arial" w:cs="Arial"/>
          <w:sz w:val="20"/>
          <w:szCs w:val="20"/>
        </w:rPr>
      </w:pPr>
      <w:r w:rsidRPr="00646E2A">
        <w:rPr>
          <w:rFonts w:ascii="Arial" w:hAnsi="Arial"/>
          <w:i/>
          <w:iCs/>
          <w:sz w:val="20"/>
          <w:szCs w:val="20"/>
        </w:rPr>
        <w:t>Adjusted Net Cruise Cost Excluding Fuel</w:t>
      </w:r>
      <w:r w:rsidRPr="00646E2A">
        <w:rPr>
          <w:rFonts w:ascii="Arial" w:hAnsi="Arial"/>
          <w:sz w:val="20"/>
          <w:szCs w:val="20"/>
        </w:rPr>
        <w:t>. Net Cruise Cost less fuel expense adjusted for supplemental adjustments.</w:t>
      </w:r>
    </w:p>
    <w:p w14:paraId="59823A8B" w14:textId="77777777" w:rsidR="00545B2E" w:rsidRPr="00646E2A" w:rsidRDefault="00545B2E">
      <w:pPr>
        <w:tabs>
          <w:tab w:val="left" w:pos="1170"/>
        </w:tabs>
        <w:spacing w:line="360" w:lineRule="auto"/>
        <w:jc w:val="both"/>
        <w:rPr>
          <w:rFonts w:ascii="Arial" w:eastAsia="Arial" w:hAnsi="Arial" w:cs="Arial"/>
          <w:i/>
          <w:iCs/>
          <w:sz w:val="20"/>
          <w:szCs w:val="20"/>
        </w:rPr>
      </w:pPr>
    </w:p>
    <w:p w14:paraId="0FD21F14" w14:textId="77777777" w:rsidR="005732AA" w:rsidRDefault="005732AA" w:rsidP="005732AA">
      <w:pPr>
        <w:tabs>
          <w:tab w:val="left" w:pos="1170"/>
        </w:tabs>
        <w:spacing w:line="360" w:lineRule="auto"/>
        <w:jc w:val="both"/>
        <w:rPr>
          <w:rFonts w:ascii="Arial" w:eastAsia="Arial" w:hAnsi="Arial" w:cs="Arial"/>
          <w:i/>
          <w:iCs/>
          <w:sz w:val="20"/>
          <w:szCs w:val="20"/>
        </w:rPr>
      </w:pPr>
      <w:r>
        <w:rPr>
          <w:rFonts w:ascii="Arial" w:hAnsi="Arial" w:cs="Arial"/>
          <w:i/>
          <w:iCs/>
          <w:sz w:val="20"/>
          <w:szCs w:val="20"/>
        </w:rPr>
        <w:t>Adjusted Net Income.</w:t>
      </w:r>
      <w:r>
        <w:rPr>
          <w:rFonts w:ascii="Arial" w:hAnsi="Arial" w:cs="Arial"/>
          <w:sz w:val="20"/>
          <w:szCs w:val="20"/>
        </w:rPr>
        <w:t> Net income, adjusted for non-cash compensation expense and any potential impacts associated with financing activities.</w:t>
      </w:r>
    </w:p>
    <w:p w14:paraId="026FA323" w14:textId="77777777" w:rsidR="005732AA" w:rsidRDefault="005732AA">
      <w:pPr>
        <w:tabs>
          <w:tab w:val="left" w:pos="1170"/>
        </w:tabs>
        <w:spacing w:line="360" w:lineRule="auto"/>
        <w:jc w:val="both"/>
        <w:rPr>
          <w:rFonts w:ascii="Arial" w:hAnsi="Arial"/>
          <w:i/>
          <w:iCs/>
          <w:sz w:val="20"/>
          <w:szCs w:val="20"/>
        </w:rPr>
      </w:pPr>
    </w:p>
    <w:p w14:paraId="740CD769" w14:textId="62F8EB81" w:rsidR="00545B2E" w:rsidRPr="00646E2A" w:rsidRDefault="00545B2E">
      <w:pPr>
        <w:tabs>
          <w:tab w:val="left" w:pos="1170"/>
        </w:tabs>
        <w:spacing w:line="360" w:lineRule="auto"/>
        <w:jc w:val="both"/>
        <w:rPr>
          <w:rFonts w:ascii="Arial" w:eastAsia="Arial" w:hAnsi="Arial" w:cs="Arial"/>
          <w:sz w:val="20"/>
          <w:szCs w:val="20"/>
        </w:rPr>
      </w:pPr>
      <w:r w:rsidRPr="00646E2A">
        <w:rPr>
          <w:rFonts w:ascii="Arial" w:hAnsi="Arial"/>
          <w:i/>
          <w:iCs/>
          <w:sz w:val="20"/>
          <w:szCs w:val="20"/>
        </w:rPr>
        <w:t xml:space="preserve">Adjusted Net </w:t>
      </w:r>
      <w:r w:rsidR="009B1A1E" w:rsidRPr="00646E2A">
        <w:rPr>
          <w:rFonts w:ascii="Arial" w:hAnsi="Arial"/>
          <w:i/>
          <w:iCs/>
          <w:sz w:val="20"/>
          <w:szCs w:val="20"/>
        </w:rPr>
        <w:t>Loss</w:t>
      </w:r>
      <w:r w:rsidRPr="00646E2A">
        <w:rPr>
          <w:rFonts w:ascii="Arial" w:hAnsi="Arial"/>
          <w:i/>
          <w:iCs/>
          <w:sz w:val="20"/>
          <w:szCs w:val="20"/>
        </w:rPr>
        <w:t xml:space="preserve">. </w:t>
      </w:r>
      <w:r w:rsidRPr="00646E2A">
        <w:rPr>
          <w:rFonts w:ascii="Arial" w:hAnsi="Arial"/>
          <w:sz w:val="20"/>
          <w:szCs w:val="20"/>
        </w:rPr>
        <w:t xml:space="preserve">  Net </w:t>
      </w:r>
      <w:r w:rsidR="008C27E8" w:rsidRPr="00646E2A">
        <w:rPr>
          <w:rFonts w:ascii="Arial" w:hAnsi="Arial"/>
          <w:sz w:val="20"/>
          <w:szCs w:val="20"/>
        </w:rPr>
        <w:t>loss</w:t>
      </w:r>
      <w:r w:rsidRPr="00646E2A">
        <w:rPr>
          <w:rFonts w:ascii="Arial" w:hAnsi="Arial"/>
          <w:sz w:val="20"/>
          <w:szCs w:val="20"/>
        </w:rPr>
        <w:t xml:space="preserve"> adjusted for supplemental adjustments.</w:t>
      </w:r>
    </w:p>
    <w:p w14:paraId="2BB0CD15" w14:textId="77777777" w:rsidR="00545B2E" w:rsidRPr="00646E2A" w:rsidRDefault="00545B2E">
      <w:pPr>
        <w:tabs>
          <w:tab w:val="left" w:pos="1170"/>
        </w:tabs>
        <w:spacing w:line="360" w:lineRule="auto"/>
        <w:jc w:val="both"/>
        <w:rPr>
          <w:rFonts w:ascii="Arial" w:eastAsia="Arial" w:hAnsi="Arial" w:cs="Arial"/>
          <w:i/>
          <w:iCs/>
          <w:sz w:val="20"/>
          <w:szCs w:val="20"/>
        </w:rPr>
      </w:pPr>
    </w:p>
    <w:p w14:paraId="1BEFE058" w14:textId="7F55539F" w:rsidR="00545B2E" w:rsidRPr="00646E2A" w:rsidRDefault="00545B2E">
      <w:pPr>
        <w:pStyle w:val="Textoindependiente"/>
        <w:rPr>
          <w:rFonts w:ascii="Arial" w:hAnsi="Arial"/>
          <w:sz w:val="20"/>
        </w:rPr>
      </w:pPr>
      <w:r w:rsidRPr="00646E2A">
        <w:rPr>
          <w:rFonts w:ascii="Arial" w:hAnsi="Arial"/>
          <w:i/>
          <w:iCs/>
          <w:sz w:val="20"/>
        </w:rPr>
        <w:t>Berths</w:t>
      </w:r>
      <w:r w:rsidRPr="00646E2A">
        <w:rPr>
          <w:rFonts w:ascii="Arial" w:hAnsi="Arial"/>
          <w:sz w:val="20"/>
        </w:rPr>
        <w:t>.  Double occupancy capacity per cabin (single occupancy per studio cabin) even though many cabins can accommodate three or more passengers.</w:t>
      </w:r>
    </w:p>
    <w:p w14:paraId="5C7E4C36" w14:textId="77777777" w:rsidR="009E5E2C" w:rsidRPr="00646E2A" w:rsidRDefault="009E5E2C">
      <w:pPr>
        <w:pStyle w:val="Textoindependiente"/>
        <w:rPr>
          <w:rFonts w:ascii="Arial" w:eastAsia="Arial" w:hAnsi="Arial" w:cs="Arial"/>
          <w:sz w:val="20"/>
        </w:rPr>
      </w:pPr>
    </w:p>
    <w:p w14:paraId="743E8EF4" w14:textId="3E73A5E7" w:rsidR="00545B2E" w:rsidRPr="00646E2A" w:rsidRDefault="00545B2E">
      <w:pPr>
        <w:tabs>
          <w:tab w:val="left" w:pos="1170"/>
        </w:tabs>
        <w:spacing w:line="360" w:lineRule="auto"/>
        <w:jc w:val="both"/>
        <w:rPr>
          <w:rFonts w:ascii="Arial" w:hAnsi="Arial"/>
          <w:sz w:val="20"/>
          <w:szCs w:val="20"/>
        </w:rPr>
      </w:pPr>
      <w:r w:rsidRPr="00646E2A">
        <w:rPr>
          <w:rFonts w:ascii="Arial" w:hAnsi="Arial"/>
          <w:i/>
          <w:iCs/>
          <w:sz w:val="20"/>
          <w:szCs w:val="20"/>
        </w:rPr>
        <w:t xml:space="preserve">Capacity Days.  </w:t>
      </w:r>
      <w:r w:rsidRPr="00646E2A">
        <w:rPr>
          <w:rFonts w:ascii="Arial" w:hAnsi="Arial"/>
          <w:sz w:val="20"/>
          <w:szCs w:val="20"/>
        </w:rPr>
        <w:t>Berths</w:t>
      </w:r>
      <w:r w:rsidR="00E220C6" w:rsidRPr="00646E2A">
        <w:rPr>
          <w:rFonts w:ascii="Arial" w:hAnsi="Arial"/>
          <w:sz w:val="20"/>
          <w:szCs w:val="20"/>
        </w:rPr>
        <w:t xml:space="preserve"> available for sale</w:t>
      </w:r>
      <w:r w:rsidRPr="00646E2A">
        <w:rPr>
          <w:rFonts w:ascii="Arial" w:hAnsi="Arial"/>
          <w:sz w:val="20"/>
          <w:szCs w:val="20"/>
        </w:rPr>
        <w:t xml:space="preserve"> multiplied by the number of cruise days for the period</w:t>
      </w:r>
      <w:r w:rsidR="00190561" w:rsidRPr="00646E2A">
        <w:rPr>
          <w:rFonts w:ascii="Arial" w:hAnsi="Arial"/>
          <w:sz w:val="20"/>
          <w:szCs w:val="20"/>
        </w:rPr>
        <w:t xml:space="preserve"> for ships in service</w:t>
      </w:r>
      <w:r w:rsidRPr="00646E2A">
        <w:rPr>
          <w:rFonts w:ascii="Arial" w:hAnsi="Arial"/>
          <w:sz w:val="20"/>
          <w:szCs w:val="20"/>
        </w:rPr>
        <w:t>.</w:t>
      </w:r>
    </w:p>
    <w:p w14:paraId="1EFF1097" w14:textId="77777777" w:rsidR="0070250D" w:rsidRPr="00646E2A" w:rsidRDefault="0070250D">
      <w:pPr>
        <w:tabs>
          <w:tab w:val="left" w:pos="1170"/>
        </w:tabs>
        <w:spacing w:line="360" w:lineRule="auto"/>
        <w:jc w:val="both"/>
        <w:rPr>
          <w:rFonts w:ascii="Arial" w:eastAsia="Arial" w:hAnsi="Arial" w:cs="Arial"/>
          <w:sz w:val="20"/>
          <w:szCs w:val="20"/>
        </w:rPr>
      </w:pPr>
    </w:p>
    <w:p w14:paraId="3A2C44B3" w14:textId="77777777" w:rsidR="00545B2E" w:rsidRPr="00646E2A" w:rsidRDefault="00545B2E">
      <w:pPr>
        <w:tabs>
          <w:tab w:val="left" w:pos="1170"/>
        </w:tabs>
        <w:spacing w:line="360" w:lineRule="auto"/>
        <w:jc w:val="both"/>
        <w:rPr>
          <w:rFonts w:ascii="Arial" w:eastAsia="Arial" w:hAnsi="Arial" w:cs="Arial"/>
          <w:sz w:val="20"/>
          <w:szCs w:val="20"/>
        </w:rPr>
      </w:pPr>
      <w:r w:rsidRPr="00646E2A">
        <w:rPr>
          <w:rFonts w:ascii="Arial" w:hAnsi="Arial"/>
          <w:i/>
          <w:iCs/>
          <w:sz w:val="20"/>
          <w:szCs w:val="20"/>
        </w:rPr>
        <w:t xml:space="preserve">Constant Currency. </w:t>
      </w:r>
      <w:r w:rsidRPr="00646E2A">
        <w:rPr>
          <w:rFonts w:ascii="Arial" w:hAnsi="Arial"/>
          <w:sz w:val="20"/>
          <w:szCs w:val="20"/>
        </w:rPr>
        <w:t>A calculation whereby foreign currency-denominated revenues and expenses in a period are converted at the U.S. dollar exchange rate of a comparable period in order to eliminate the effects of foreign exchange fluctuations.</w:t>
      </w:r>
    </w:p>
    <w:p w14:paraId="7442B0DA" w14:textId="77777777" w:rsidR="00545B2E" w:rsidRPr="00646E2A" w:rsidRDefault="00545B2E">
      <w:pPr>
        <w:tabs>
          <w:tab w:val="left" w:pos="1170"/>
        </w:tabs>
        <w:spacing w:line="360" w:lineRule="auto"/>
        <w:jc w:val="both"/>
        <w:rPr>
          <w:rFonts w:ascii="Arial" w:eastAsia="Arial" w:hAnsi="Arial" w:cs="Arial"/>
          <w:i/>
          <w:iCs/>
          <w:sz w:val="20"/>
          <w:szCs w:val="20"/>
        </w:rPr>
      </w:pPr>
    </w:p>
    <w:p w14:paraId="3D879A80" w14:textId="77777777" w:rsidR="00545B2E" w:rsidRPr="00646E2A" w:rsidRDefault="00545B2E">
      <w:pPr>
        <w:tabs>
          <w:tab w:val="left" w:pos="1170"/>
        </w:tabs>
        <w:spacing w:line="360" w:lineRule="auto"/>
        <w:jc w:val="both"/>
        <w:rPr>
          <w:rFonts w:ascii="Arial" w:eastAsia="Arial" w:hAnsi="Arial" w:cs="Arial"/>
          <w:sz w:val="20"/>
          <w:szCs w:val="20"/>
        </w:rPr>
      </w:pPr>
      <w:r w:rsidRPr="00646E2A">
        <w:rPr>
          <w:rFonts w:ascii="Arial" w:hAnsi="Arial"/>
          <w:i/>
          <w:iCs/>
          <w:sz w:val="20"/>
          <w:szCs w:val="20"/>
        </w:rPr>
        <w:t xml:space="preserve">EBITDA.  </w:t>
      </w:r>
      <w:r w:rsidRPr="00646E2A">
        <w:rPr>
          <w:rFonts w:ascii="Arial" w:hAnsi="Arial"/>
          <w:sz w:val="20"/>
          <w:szCs w:val="20"/>
        </w:rPr>
        <w:t>Earnings before interest, taxes, and depreciation and amortization.</w:t>
      </w:r>
    </w:p>
    <w:p w14:paraId="163EEB5B" w14:textId="77777777" w:rsidR="00545B2E" w:rsidRPr="00646E2A" w:rsidRDefault="00545B2E">
      <w:pPr>
        <w:tabs>
          <w:tab w:val="left" w:pos="1170"/>
        </w:tabs>
        <w:spacing w:line="360" w:lineRule="auto"/>
        <w:jc w:val="both"/>
        <w:rPr>
          <w:rFonts w:ascii="Arial" w:eastAsia="Arial" w:hAnsi="Arial" w:cs="Arial"/>
          <w:sz w:val="20"/>
          <w:szCs w:val="20"/>
        </w:rPr>
      </w:pPr>
    </w:p>
    <w:p w14:paraId="06D7C725" w14:textId="271875F9" w:rsidR="00545B2E" w:rsidRPr="00646E2A" w:rsidRDefault="00545B2E">
      <w:pPr>
        <w:tabs>
          <w:tab w:val="left" w:pos="1170"/>
        </w:tabs>
        <w:spacing w:line="360" w:lineRule="auto"/>
        <w:jc w:val="both"/>
        <w:rPr>
          <w:rFonts w:ascii="Arial" w:eastAsia="Arial" w:hAnsi="Arial" w:cs="Arial"/>
          <w:i/>
          <w:iCs/>
          <w:sz w:val="20"/>
          <w:szCs w:val="20"/>
        </w:rPr>
      </w:pPr>
      <w:r w:rsidRPr="00646E2A">
        <w:rPr>
          <w:rFonts w:ascii="Arial" w:hAnsi="Arial"/>
          <w:i/>
          <w:iCs/>
          <w:sz w:val="20"/>
          <w:szCs w:val="20"/>
        </w:rPr>
        <w:t xml:space="preserve">EPS. </w:t>
      </w:r>
      <w:r w:rsidRPr="00646E2A">
        <w:rPr>
          <w:rFonts w:ascii="Arial" w:hAnsi="Arial"/>
          <w:sz w:val="20"/>
          <w:szCs w:val="20"/>
        </w:rPr>
        <w:t xml:space="preserve">Diluted </w:t>
      </w:r>
      <w:r w:rsidR="002F4A0B" w:rsidRPr="00646E2A">
        <w:rPr>
          <w:rFonts w:ascii="Arial" w:hAnsi="Arial"/>
          <w:sz w:val="20"/>
          <w:szCs w:val="20"/>
        </w:rPr>
        <w:t xml:space="preserve">loss </w:t>
      </w:r>
      <w:r w:rsidRPr="00646E2A">
        <w:rPr>
          <w:rFonts w:ascii="Arial" w:hAnsi="Arial"/>
          <w:sz w:val="20"/>
          <w:szCs w:val="20"/>
        </w:rPr>
        <w:t>per share.</w:t>
      </w:r>
      <w:r w:rsidRPr="00646E2A">
        <w:rPr>
          <w:rFonts w:ascii="Arial" w:hAnsi="Arial"/>
          <w:i/>
          <w:iCs/>
          <w:sz w:val="20"/>
          <w:szCs w:val="20"/>
        </w:rPr>
        <w:t xml:space="preserve"> </w:t>
      </w:r>
    </w:p>
    <w:p w14:paraId="1EFF9C0D" w14:textId="77777777" w:rsidR="009E5E2C" w:rsidRPr="00646E2A" w:rsidRDefault="009E5E2C">
      <w:pPr>
        <w:tabs>
          <w:tab w:val="left" w:pos="1170"/>
        </w:tabs>
        <w:spacing w:line="360" w:lineRule="auto"/>
        <w:jc w:val="both"/>
        <w:rPr>
          <w:rFonts w:ascii="Arial" w:eastAsia="Arial" w:hAnsi="Arial" w:cs="Arial"/>
          <w:i/>
          <w:iCs/>
          <w:sz w:val="20"/>
          <w:szCs w:val="20"/>
        </w:rPr>
      </w:pPr>
    </w:p>
    <w:p w14:paraId="63BF5642" w14:textId="77777777" w:rsidR="00545B2E" w:rsidRPr="00646E2A" w:rsidRDefault="00545B2E">
      <w:pPr>
        <w:tabs>
          <w:tab w:val="left" w:pos="1170"/>
        </w:tabs>
        <w:spacing w:line="360" w:lineRule="auto"/>
        <w:jc w:val="both"/>
        <w:rPr>
          <w:rFonts w:ascii="Arial" w:eastAsia="Arial" w:hAnsi="Arial" w:cs="Arial"/>
          <w:sz w:val="20"/>
          <w:szCs w:val="20"/>
        </w:rPr>
      </w:pPr>
      <w:r w:rsidRPr="00646E2A">
        <w:rPr>
          <w:rFonts w:ascii="Arial" w:hAnsi="Arial"/>
          <w:i/>
          <w:iCs/>
          <w:sz w:val="20"/>
          <w:szCs w:val="20"/>
        </w:rPr>
        <w:t>GAAP.</w:t>
      </w:r>
      <w:r w:rsidRPr="00646E2A">
        <w:rPr>
          <w:rFonts w:ascii="Arial" w:hAnsi="Arial"/>
          <w:sz w:val="20"/>
          <w:szCs w:val="20"/>
        </w:rPr>
        <w:t xml:space="preserve"> Generally accepted accounting principles in the U.S.</w:t>
      </w:r>
    </w:p>
    <w:p w14:paraId="3E5D0BDA" w14:textId="77777777" w:rsidR="00545B2E" w:rsidRPr="00646E2A" w:rsidRDefault="00545B2E">
      <w:pPr>
        <w:tabs>
          <w:tab w:val="left" w:pos="1170"/>
        </w:tabs>
        <w:spacing w:line="360" w:lineRule="auto"/>
        <w:jc w:val="both"/>
        <w:rPr>
          <w:rFonts w:ascii="Arial" w:eastAsia="Arial" w:hAnsi="Arial" w:cs="Arial"/>
          <w:i/>
          <w:iCs/>
          <w:sz w:val="20"/>
          <w:szCs w:val="20"/>
        </w:rPr>
      </w:pPr>
    </w:p>
    <w:p w14:paraId="129C76ED" w14:textId="77777777" w:rsidR="00545B2E" w:rsidRPr="00FC5478" w:rsidRDefault="00545B2E">
      <w:pPr>
        <w:tabs>
          <w:tab w:val="left" w:pos="1170"/>
        </w:tabs>
        <w:spacing w:line="360" w:lineRule="auto"/>
        <w:jc w:val="both"/>
        <w:rPr>
          <w:rFonts w:ascii="Arial" w:hAnsi="Arial"/>
          <w:sz w:val="20"/>
          <w:szCs w:val="20"/>
        </w:rPr>
      </w:pPr>
      <w:r w:rsidRPr="00646E2A">
        <w:rPr>
          <w:rFonts w:ascii="Arial" w:hAnsi="Arial"/>
          <w:i/>
          <w:iCs/>
          <w:sz w:val="20"/>
          <w:szCs w:val="20"/>
        </w:rPr>
        <w:t xml:space="preserve">Gross Cruise Cost.  </w:t>
      </w:r>
      <w:r w:rsidRPr="00646E2A">
        <w:rPr>
          <w:rFonts w:ascii="Arial" w:hAnsi="Arial"/>
          <w:sz w:val="20"/>
          <w:szCs w:val="20"/>
        </w:rPr>
        <w:t>The sum of total cruise operating expense and marketing, general and administrative</w:t>
      </w:r>
      <w:r w:rsidRPr="00FC5478">
        <w:rPr>
          <w:rFonts w:ascii="Arial" w:hAnsi="Arial"/>
          <w:sz w:val="20"/>
          <w:szCs w:val="20"/>
        </w:rPr>
        <w:t xml:space="preserve"> expense.</w:t>
      </w:r>
    </w:p>
    <w:p w14:paraId="178B1594" w14:textId="77777777" w:rsidR="00BD5E78" w:rsidRPr="00FC5478" w:rsidRDefault="00BD5E78">
      <w:pPr>
        <w:tabs>
          <w:tab w:val="left" w:pos="1170"/>
        </w:tabs>
        <w:spacing w:line="360" w:lineRule="auto"/>
        <w:jc w:val="both"/>
        <w:rPr>
          <w:rFonts w:ascii="Arial" w:eastAsia="Arial" w:hAnsi="Arial" w:cs="Arial"/>
          <w:sz w:val="20"/>
          <w:szCs w:val="20"/>
        </w:rPr>
      </w:pPr>
    </w:p>
    <w:p w14:paraId="20E87F79" w14:textId="77777777" w:rsidR="00545B2E" w:rsidRPr="00FC5478" w:rsidRDefault="00545B2E">
      <w:pPr>
        <w:tabs>
          <w:tab w:val="left" w:pos="1170"/>
        </w:tabs>
        <w:spacing w:line="360" w:lineRule="auto"/>
        <w:jc w:val="both"/>
        <w:rPr>
          <w:rFonts w:ascii="Arial" w:eastAsia="Arial" w:hAnsi="Arial" w:cs="Arial"/>
          <w:sz w:val="20"/>
          <w:szCs w:val="20"/>
        </w:rPr>
      </w:pPr>
      <w:r w:rsidRPr="00FC5478">
        <w:rPr>
          <w:rFonts w:ascii="Arial" w:hAnsi="Arial"/>
          <w:i/>
          <w:iCs/>
          <w:sz w:val="20"/>
          <w:szCs w:val="20"/>
        </w:rPr>
        <w:t>Net Cruise Cost</w:t>
      </w:r>
      <w:r w:rsidRPr="00FC5478">
        <w:rPr>
          <w:rFonts w:ascii="Arial" w:hAnsi="Arial"/>
          <w:sz w:val="20"/>
          <w:szCs w:val="20"/>
        </w:rPr>
        <w:t xml:space="preserve">.  Gross Cruise Cost less commissions, transportation and other expense and onboard and other expense. </w:t>
      </w:r>
    </w:p>
    <w:p w14:paraId="126F10B6" w14:textId="77777777" w:rsidR="00545B2E" w:rsidRPr="00FC5478" w:rsidRDefault="00545B2E">
      <w:pPr>
        <w:tabs>
          <w:tab w:val="left" w:pos="1170"/>
        </w:tabs>
        <w:spacing w:line="360" w:lineRule="auto"/>
        <w:jc w:val="both"/>
        <w:rPr>
          <w:rFonts w:ascii="Arial" w:eastAsia="Arial" w:hAnsi="Arial" w:cs="Arial"/>
          <w:sz w:val="20"/>
          <w:szCs w:val="20"/>
        </w:rPr>
      </w:pPr>
    </w:p>
    <w:p w14:paraId="49E0E218" w14:textId="77777777" w:rsidR="00545B2E" w:rsidRPr="00FC5478" w:rsidRDefault="00545B2E">
      <w:pPr>
        <w:tabs>
          <w:tab w:val="left" w:pos="1170"/>
        </w:tabs>
        <w:spacing w:line="360" w:lineRule="auto"/>
        <w:jc w:val="both"/>
        <w:rPr>
          <w:rFonts w:ascii="Arial" w:eastAsia="Arial" w:hAnsi="Arial" w:cs="Arial"/>
          <w:sz w:val="20"/>
          <w:szCs w:val="20"/>
        </w:rPr>
      </w:pPr>
      <w:r w:rsidRPr="00FC5478">
        <w:rPr>
          <w:rFonts w:ascii="Arial" w:hAnsi="Arial"/>
          <w:i/>
          <w:iCs/>
          <w:sz w:val="20"/>
          <w:szCs w:val="20"/>
        </w:rPr>
        <w:t>Net Cruise Cost Excluding Fuel</w:t>
      </w:r>
      <w:r w:rsidRPr="00FC5478">
        <w:rPr>
          <w:rFonts w:ascii="Arial" w:hAnsi="Arial"/>
          <w:sz w:val="20"/>
          <w:szCs w:val="20"/>
        </w:rPr>
        <w:t>.  Net Cruise Cost less fuel expense.</w:t>
      </w:r>
    </w:p>
    <w:p w14:paraId="4C9C80BB" w14:textId="77777777" w:rsidR="00545B2E" w:rsidRPr="00FC5478" w:rsidRDefault="00545B2E">
      <w:pPr>
        <w:tabs>
          <w:tab w:val="left" w:pos="1170"/>
        </w:tabs>
        <w:spacing w:line="360" w:lineRule="auto"/>
        <w:jc w:val="both"/>
        <w:rPr>
          <w:rFonts w:ascii="Arial" w:eastAsia="Arial" w:hAnsi="Arial" w:cs="Arial"/>
          <w:sz w:val="20"/>
          <w:szCs w:val="20"/>
        </w:rPr>
      </w:pPr>
    </w:p>
    <w:p w14:paraId="2B0354E9" w14:textId="285C4811" w:rsidR="00545B2E" w:rsidRDefault="00545B2E">
      <w:pPr>
        <w:tabs>
          <w:tab w:val="left" w:pos="1170"/>
        </w:tabs>
        <w:spacing w:line="360" w:lineRule="auto"/>
        <w:jc w:val="both"/>
        <w:rPr>
          <w:rFonts w:ascii="Arial" w:hAnsi="Arial"/>
          <w:sz w:val="20"/>
          <w:szCs w:val="20"/>
        </w:rPr>
      </w:pPr>
      <w:r w:rsidRPr="00FC5478">
        <w:rPr>
          <w:rFonts w:ascii="Arial" w:hAnsi="Arial"/>
          <w:i/>
          <w:iCs/>
          <w:sz w:val="20"/>
          <w:szCs w:val="20"/>
        </w:rPr>
        <w:t>Occupancy Percentage or Load Factor.</w:t>
      </w:r>
      <w:r w:rsidRPr="00FC5478">
        <w:rPr>
          <w:rFonts w:ascii="Arial" w:hAnsi="Arial"/>
          <w:sz w:val="20"/>
          <w:szCs w:val="20"/>
        </w:rPr>
        <w:t xml:space="preserve"> The ratio of Passenger Cruise Days to Capacity Days. A percentage in excess of 100% indicates that three or more passengers occupied some cabins.</w:t>
      </w:r>
    </w:p>
    <w:p w14:paraId="7745840C" w14:textId="40E7B253" w:rsidR="002356C5" w:rsidRDefault="002356C5">
      <w:pPr>
        <w:tabs>
          <w:tab w:val="left" w:pos="1170"/>
        </w:tabs>
        <w:spacing w:line="360" w:lineRule="auto"/>
        <w:jc w:val="both"/>
        <w:rPr>
          <w:rFonts w:ascii="Arial" w:hAnsi="Arial"/>
          <w:sz w:val="20"/>
          <w:szCs w:val="20"/>
        </w:rPr>
      </w:pPr>
    </w:p>
    <w:p w14:paraId="13B0FEA2" w14:textId="61EE2976" w:rsidR="002356C5" w:rsidRPr="00FC5478" w:rsidRDefault="002356C5">
      <w:pPr>
        <w:tabs>
          <w:tab w:val="left" w:pos="1170"/>
        </w:tabs>
        <w:spacing w:line="360" w:lineRule="auto"/>
        <w:jc w:val="both"/>
        <w:rPr>
          <w:rFonts w:ascii="Arial" w:eastAsia="Arial" w:hAnsi="Arial" w:cs="Arial"/>
          <w:sz w:val="20"/>
          <w:szCs w:val="20"/>
        </w:rPr>
      </w:pPr>
      <w:r w:rsidRPr="00B575B7">
        <w:rPr>
          <w:rFonts w:ascii="Arial" w:eastAsia="Arial" w:hAnsi="Arial" w:cs="Arial"/>
          <w:i/>
          <w:iCs/>
          <w:sz w:val="20"/>
          <w:szCs w:val="20"/>
        </w:rPr>
        <w:t>Operating Cash Flow</w:t>
      </w:r>
      <w:r>
        <w:rPr>
          <w:rFonts w:ascii="Arial" w:eastAsia="Arial" w:hAnsi="Arial" w:cs="Arial"/>
          <w:sz w:val="20"/>
          <w:szCs w:val="20"/>
        </w:rPr>
        <w:t>. Net cash provided by (used in) operating activities.</w:t>
      </w:r>
    </w:p>
    <w:p w14:paraId="39DD335B" w14:textId="77777777" w:rsidR="00545B2E" w:rsidRPr="00FC5478" w:rsidRDefault="00545B2E">
      <w:pPr>
        <w:tabs>
          <w:tab w:val="left" w:pos="1170"/>
        </w:tabs>
        <w:spacing w:line="360" w:lineRule="auto"/>
        <w:jc w:val="both"/>
        <w:rPr>
          <w:rFonts w:ascii="Arial" w:eastAsia="Arial" w:hAnsi="Arial" w:cs="Arial"/>
          <w:sz w:val="20"/>
          <w:szCs w:val="20"/>
        </w:rPr>
      </w:pPr>
    </w:p>
    <w:p w14:paraId="7607F330" w14:textId="4BAB009C" w:rsidR="00545B2E" w:rsidRPr="00FC5478" w:rsidRDefault="00545B2E">
      <w:pPr>
        <w:tabs>
          <w:tab w:val="left" w:pos="1170"/>
        </w:tabs>
        <w:spacing w:line="360" w:lineRule="auto"/>
        <w:jc w:val="both"/>
        <w:rPr>
          <w:rFonts w:ascii="Arial" w:hAnsi="Arial"/>
          <w:sz w:val="20"/>
          <w:szCs w:val="20"/>
        </w:rPr>
      </w:pPr>
      <w:r w:rsidRPr="00FC5478">
        <w:rPr>
          <w:rFonts w:ascii="Arial" w:hAnsi="Arial"/>
          <w:i/>
          <w:iCs/>
          <w:sz w:val="20"/>
          <w:szCs w:val="20"/>
        </w:rPr>
        <w:t>Passenger Cruise Days</w:t>
      </w:r>
      <w:r w:rsidRPr="00FC5478">
        <w:rPr>
          <w:rFonts w:ascii="Arial" w:hAnsi="Arial"/>
          <w:sz w:val="20"/>
          <w:szCs w:val="20"/>
        </w:rPr>
        <w:t>.  The number of passengers carried for the period, multiplied by the number of days in their respective cruises.</w:t>
      </w:r>
    </w:p>
    <w:p w14:paraId="2464EE80" w14:textId="77777777" w:rsidR="00B0580E" w:rsidRPr="00FC5478" w:rsidRDefault="00B0580E">
      <w:pPr>
        <w:tabs>
          <w:tab w:val="left" w:pos="1170"/>
        </w:tabs>
        <w:spacing w:line="360" w:lineRule="auto"/>
        <w:jc w:val="both"/>
        <w:rPr>
          <w:rFonts w:ascii="Arial" w:hAnsi="Arial"/>
          <w:sz w:val="20"/>
          <w:szCs w:val="20"/>
        </w:rPr>
      </w:pPr>
    </w:p>
    <w:p w14:paraId="00BC2549" w14:textId="77777777" w:rsidR="00B0580E" w:rsidRPr="00FD3B0C" w:rsidRDefault="00B0580E">
      <w:pPr>
        <w:pStyle w:val="Default"/>
        <w:rPr>
          <w:rFonts w:ascii="Arial" w:eastAsia="Arial" w:hAnsi="Arial" w:cs="Arial"/>
          <w:b/>
          <w:bCs/>
          <w:sz w:val="20"/>
          <w:szCs w:val="20"/>
          <w:u w:val="single"/>
        </w:rPr>
      </w:pPr>
      <w:r w:rsidRPr="00FD3B0C">
        <w:rPr>
          <w:rFonts w:ascii="Arial" w:hAnsi="Arial"/>
          <w:b/>
          <w:bCs/>
          <w:sz w:val="20"/>
          <w:szCs w:val="20"/>
          <w:u w:val="single"/>
        </w:rPr>
        <w:t>Non-GAAP Financial Measures</w:t>
      </w:r>
    </w:p>
    <w:p w14:paraId="4CEF0E40" w14:textId="77777777" w:rsidR="00B0580E" w:rsidRPr="00FD3B0C" w:rsidRDefault="00B0580E">
      <w:pPr>
        <w:spacing w:line="360" w:lineRule="auto"/>
        <w:jc w:val="both"/>
        <w:rPr>
          <w:rFonts w:ascii="Arial" w:eastAsia="Arial" w:hAnsi="Arial" w:cs="Arial"/>
          <w:sz w:val="20"/>
          <w:szCs w:val="20"/>
        </w:rPr>
      </w:pPr>
    </w:p>
    <w:p w14:paraId="6041060B" w14:textId="32E9B53C" w:rsidR="00F51C0C" w:rsidRPr="00FD3B0C" w:rsidRDefault="00F51C0C" w:rsidP="00F51C0C">
      <w:pPr>
        <w:pStyle w:val="NormalWeb"/>
        <w:spacing w:before="0" w:after="0"/>
        <w:jc w:val="both"/>
        <w:rPr>
          <w:rFonts w:ascii="Arial" w:hAnsi="Arial"/>
          <w:sz w:val="20"/>
          <w:szCs w:val="20"/>
        </w:rPr>
      </w:pPr>
      <w:r w:rsidRPr="00FD3B0C">
        <w:rPr>
          <w:rFonts w:ascii="Arial" w:hAnsi="Arial"/>
          <w:sz w:val="20"/>
          <w:szCs w:val="20"/>
        </w:rPr>
        <w:t>We use certain non-GAAP financial measures, such as Net Cruise Cost, Adjusted Net Cruise Cost Excluding Fuel, Adjusted EBITDA, Adjusted Net Loss</w:t>
      </w:r>
      <w:r w:rsidR="005732AA">
        <w:rPr>
          <w:rFonts w:ascii="Arial" w:hAnsi="Arial"/>
          <w:sz w:val="20"/>
          <w:szCs w:val="20"/>
        </w:rPr>
        <w:t>, Adjusted Net Income</w:t>
      </w:r>
      <w:r w:rsidRPr="00FD3B0C">
        <w:rPr>
          <w:rFonts w:ascii="Arial" w:hAnsi="Arial"/>
          <w:sz w:val="20"/>
          <w:szCs w:val="20"/>
        </w:rPr>
        <w:t xml:space="preserve"> and Adjusted EPS, to enable us to analyze our performance. See “Terminology” for the definitions of these and other non-GAAP financial measures. We utilize Net Cruise Cost and Adjusted Net Cruise Cost Excluding Fuel to manage our business on a day-to-day basis. In measuring our ability to control costs in a manner that positively impacts net income (loss), we believe changes in Net Cruise Cost and Adjusted Net Cruise Cost Excluding Fuel to be the most relevant indicators of our performance. </w:t>
      </w:r>
      <w:r w:rsidR="00190561" w:rsidRPr="00FD3B0C">
        <w:rPr>
          <w:rFonts w:ascii="Arial" w:hAnsi="Arial"/>
          <w:sz w:val="20"/>
          <w:szCs w:val="20"/>
        </w:rPr>
        <w:t xml:space="preserve">As a result of our voluntary suspension of sailings from March 2020 </w:t>
      </w:r>
      <w:r w:rsidR="00190561">
        <w:rPr>
          <w:rFonts w:ascii="Arial" w:hAnsi="Arial"/>
          <w:sz w:val="20"/>
          <w:szCs w:val="20"/>
        </w:rPr>
        <w:t>until July</w:t>
      </w:r>
      <w:r w:rsidR="00190561" w:rsidRPr="00FD3B0C">
        <w:rPr>
          <w:rFonts w:ascii="Arial" w:hAnsi="Arial"/>
          <w:sz w:val="20"/>
          <w:szCs w:val="20"/>
        </w:rPr>
        <w:t xml:space="preserve"> 2021, we did not have any Capacity Days during the suspension period. Accordingly, we have not presented herein per Capacity Day data for the three</w:t>
      </w:r>
      <w:r w:rsidR="00190561">
        <w:rPr>
          <w:rFonts w:ascii="Arial" w:hAnsi="Arial"/>
          <w:sz w:val="20"/>
          <w:szCs w:val="20"/>
        </w:rPr>
        <w:t xml:space="preserve"> months </w:t>
      </w:r>
      <w:r w:rsidR="00931D8E">
        <w:rPr>
          <w:rFonts w:ascii="Arial" w:hAnsi="Arial"/>
          <w:sz w:val="20"/>
          <w:szCs w:val="20"/>
        </w:rPr>
        <w:t xml:space="preserve">or year </w:t>
      </w:r>
      <w:r w:rsidR="00190561" w:rsidRPr="00FD3B0C">
        <w:rPr>
          <w:rFonts w:ascii="Arial" w:hAnsi="Arial"/>
          <w:sz w:val="20"/>
          <w:szCs w:val="20"/>
        </w:rPr>
        <w:t xml:space="preserve">ended </w:t>
      </w:r>
      <w:r w:rsidR="0020114E">
        <w:rPr>
          <w:rFonts w:ascii="Arial" w:hAnsi="Arial"/>
          <w:sz w:val="20"/>
          <w:szCs w:val="20"/>
        </w:rPr>
        <w:t xml:space="preserve">December </w:t>
      </w:r>
      <w:r w:rsidR="00190561">
        <w:rPr>
          <w:rFonts w:ascii="Arial" w:hAnsi="Arial"/>
          <w:sz w:val="20"/>
          <w:szCs w:val="20"/>
        </w:rPr>
        <w:t>3</w:t>
      </w:r>
      <w:r w:rsidR="0020114E">
        <w:rPr>
          <w:rFonts w:ascii="Arial" w:hAnsi="Arial"/>
          <w:sz w:val="20"/>
          <w:szCs w:val="20"/>
        </w:rPr>
        <w:t>1</w:t>
      </w:r>
      <w:r w:rsidR="00190561">
        <w:rPr>
          <w:rFonts w:ascii="Arial" w:hAnsi="Arial"/>
          <w:sz w:val="20"/>
          <w:szCs w:val="20"/>
        </w:rPr>
        <w:t xml:space="preserve">, 2021 or </w:t>
      </w:r>
      <w:r w:rsidR="0020114E">
        <w:rPr>
          <w:rFonts w:ascii="Arial" w:hAnsi="Arial"/>
          <w:sz w:val="20"/>
          <w:szCs w:val="20"/>
        </w:rPr>
        <w:t>December</w:t>
      </w:r>
      <w:r w:rsidR="00190561" w:rsidRPr="00FD3B0C">
        <w:rPr>
          <w:rFonts w:ascii="Arial" w:hAnsi="Arial"/>
          <w:sz w:val="20"/>
          <w:szCs w:val="20"/>
        </w:rPr>
        <w:t xml:space="preserve"> 3</w:t>
      </w:r>
      <w:r w:rsidR="0020114E">
        <w:rPr>
          <w:rFonts w:ascii="Arial" w:hAnsi="Arial"/>
          <w:sz w:val="20"/>
          <w:szCs w:val="20"/>
        </w:rPr>
        <w:t>1</w:t>
      </w:r>
      <w:r w:rsidR="00190561" w:rsidRPr="00FD3B0C">
        <w:rPr>
          <w:rFonts w:ascii="Arial" w:hAnsi="Arial"/>
          <w:sz w:val="20"/>
          <w:szCs w:val="20"/>
        </w:rPr>
        <w:t>, 2020.</w:t>
      </w:r>
    </w:p>
    <w:p w14:paraId="3991C331" w14:textId="77777777" w:rsidR="00F51C0C" w:rsidRPr="00FD3B0C" w:rsidRDefault="00F51C0C" w:rsidP="00F51C0C">
      <w:pPr>
        <w:pStyle w:val="NormalWeb"/>
        <w:spacing w:before="0" w:after="0"/>
        <w:jc w:val="both"/>
        <w:rPr>
          <w:rFonts w:ascii="Arial" w:hAnsi="Arial"/>
          <w:sz w:val="20"/>
          <w:szCs w:val="20"/>
        </w:rPr>
      </w:pPr>
    </w:p>
    <w:p w14:paraId="27F9F78F" w14:textId="77777777" w:rsidR="00F51C0C" w:rsidRPr="00FD3B0C" w:rsidRDefault="00F51C0C" w:rsidP="00F51C0C">
      <w:pPr>
        <w:pStyle w:val="NormalWeb"/>
        <w:spacing w:before="0" w:after="0"/>
        <w:jc w:val="both"/>
        <w:rPr>
          <w:rFonts w:ascii="Arial" w:hAnsi="Arial"/>
          <w:sz w:val="20"/>
          <w:szCs w:val="20"/>
        </w:rPr>
      </w:pPr>
      <w:r w:rsidRPr="00FD3B0C">
        <w:rPr>
          <w:rFonts w:ascii="Arial" w:hAnsi="Arial"/>
          <w:sz w:val="20"/>
          <w:szCs w:val="20"/>
        </w:rPr>
        <w:t xml:space="preserve">As our business includes the sourcing of passengers and deployment of vessels outside of the U.S., a portion of our revenue and expenses are denominated in foreign currencies, particularly British pound, Canadian dollar, euro and Australian dollar, which are subject to fluctuations in currency exchange rates versus our reporting currency, the U.S. dollar. In order to monitor results excluding these fluctuations, we calculate certain non-GAAP measures on a Constant Currency basis, whereby current period revenue and expenses denominated in foreign currencies </w:t>
      </w:r>
      <w:proofErr w:type="gramStart"/>
      <w:r w:rsidRPr="00FD3B0C">
        <w:rPr>
          <w:rFonts w:ascii="Arial" w:hAnsi="Arial"/>
          <w:sz w:val="20"/>
          <w:szCs w:val="20"/>
        </w:rPr>
        <w:t>are converted</w:t>
      </w:r>
      <w:proofErr w:type="gramEnd"/>
      <w:r w:rsidRPr="00FD3B0C">
        <w:rPr>
          <w:rFonts w:ascii="Arial" w:hAnsi="Arial"/>
          <w:sz w:val="20"/>
          <w:szCs w:val="20"/>
        </w:rPr>
        <w:t xml:space="preserve"> to U.S. dollars using currency exchange rates of the comparable period. We believe that presenting these non-GAAP measures on both a reported and Constant Currency basis is useful in providing a more comprehensive view of trends in our business.</w:t>
      </w:r>
    </w:p>
    <w:p w14:paraId="3B9AEABD" w14:textId="77777777" w:rsidR="00F51C0C" w:rsidRPr="00FD3B0C" w:rsidRDefault="00F51C0C" w:rsidP="00F51C0C">
      <w:pPr>
        <w:pStyle w:val="NormalWeb"/>
        <w:spacing w:before="0" w:after="0"/>
        <w:jc w:val="both"/>
        <w:rPr>
          <w:rFonts w:ascii="Arial" w:hAnsi="Arial"/>
          <w:sz w:val="20"/>
          <w:szCs w:val="20"/>
        </w:rPr>
      </w:pPr>
    </w:p>
    <w:p w14:paraId="412C1A92" w14:textId="77777777" w:rsidR="00F51C0C" w:rsidRPr="00FD3B0C" w:rsidRDefault="00F51C0C" w:rsidP="00F51C0C">
      <w:pPr>
        <w:pStyle w:val="NormalWeb"/>
        <w:rPr>
          <w:rFonts w:ascii="Arial" w:hAnsi="Arial"/>
          <w:sz w:val="20"/>
          <w:szCs w:val="20"/>
        </w:rPr>
      </w:pPr>
      <w:r w:rsidRPr="00FD3B0C">
        <w:rPr>
          <w:rFonts w:ascii="Arial" w:hAnsi="Arial"/>
          <w:sz w:val="20"/>
          <w:szCs w:val="20"/>
        </w:rPr>
        <w:t xml:space="preserve">We believe that Adjusted EBITDA is appropriate as a supplemental financial measure as it is used by management to assess operating performance. We also believe that Adjusted EBITDA is a useful measure in determining our performance as it reflects certain operating drivers of our business, such as sales growth, operating costs, marketing, general and administrative expense and other operating income and expense. </w:t>
      </w:r>
      <w:proofErr w:type="gramStart"/>
      <w:r w:rsidRPr="00FD3B0C">
        <w:rPr>
          <w:rFonts w:ascii="Arial" w:hAnsi="Arial"/>
          <w:sz w:val="20"/>
          <w:szCs w:val="20"/>
        </w:rPr>
        <w:t>Adjusted EBITDA is not a defined term under GAAP nor is it intended to be a measure of liquidity or cash flows from operations or a measure comparable to net income (loss), as it does not take into account certain requirements such as capital expenditures and related depreciation, principal and interest payments and tax payments and it includes other supplemental adjustments.</w:t>
      </w:r>
      <w:proofErr w:type="gramEnd"/>
    </w:p>
    <w:p w14:paraId="54041892" w14:textId="77777777" w:rsidR="00F51C0C" w:rsidRPr="00FD3B0C" w:rsidRDefault="00F51C0C" w:rsidP="00F51C0C">
      <w:pPr>
        <w:pStyle w:val="NormalWeb"/>
        <w:spacing w:before="0" w:after="0"/>
        <w:jc w:val="both"/>
        <w:rPr>
          <w:rFonts w:ascii="Arial" w:hAnsi="Arial"/>
          <w:sz w:val="20"/>
          <w:szCs w:val="20"/>
        </w:rPr>
      </w:pPr>
    </w:p>
    <w:p w14:paraId="3C2F8875" w14:textId="1FA58F5C" w:rsidR="00F51C0C" w:rsidRPr="00FD3B0C" w:rsidRDefault="00F51C0C" w:rsidP="00F51C0C">
      <w:pPr>
        <w:pStyle w:val="NormalWeb"/>
        <w:rPr>
          <w:rFonts w:ascii="Arial" w:hAnsi="Arial"/>
          <w:sz w:val="20"/>
          <w:szCs w:val="20"/>
        </w:rPr>
      </w:pPr>
      <w:r w:rsidRPr="00FD3B0C">
        <w:rPr>
          <w:rFonts w:ascii="Arial" w:hAnsi="Arial"/>
          <w:sz w:val="20"/>
          <w:szCs w:val="20"/>
        </w:rPr>
        <w:t>In addition, Adjusted Net Loss</w:t>
      </w:r>
      <w:r w:rsidR="005732AA">
        <w:rPr>
          <w:rFonts w:ascii="Arial" w:hAnsi="Arial"/>
          <w:sz w:val="20"/>
          <w:szCs w:val="20"/>
        </w:rPr>
        <w:t xml:space="preserve">, </w:t>
      </w:r>
      <w:bookmarkStart w:id="30" w:name="_Hlk96099310"/>
      <w:r w:rsidR="005732AA">
        <w:rPr>
          <w:rFonts w:ascii="Arial" w:hAnsi="Arial"/>
          <w:sz w:val="20"/>
          <w:szCs w:val="20"/>
        </w:rPr>
        <w:t>Adjusted Net Income</w:t>
      </w:r>
      <w:bookmarkEnd w:id="30"/>
      <w:r w:rsidRPr="00FD3B0C">
        <w:rPr>
          <w:rFonts w:ascii="Arial" w:hAnsi="Arial"/>
          <w:sz w:val="20"/>
          <w:szCs w:val="20"/>
        </w:rPr>
        <w:t xml:space="preserve"> and Adjusted EPS are non-GAAP financial measures that exclude certain amounts and are used to supplement GAAP net loss and EPS. We use </w:t>
      </w:r>
      <w:r w:rsidRPr="00FD3B0C">
        <w:rPr>
          <w:rFonts w:ascii="Arial" w:hAnsi="Arial"/>
          <w:sz w:val="20"/>
          <w:szCs w:val="20"/>
        </w:rPr>
        <w:lastRenderedPageBreak/>
        <w:t>Adjusted Net Loss</w:t>
      </w:r>
      <w:r w:rsidR="005732AA">
        <w:rPr>
          <w:rFonts w:ascii="Arial" w:hAnsi="Arial"/>
          <w:sz w:val="20"/>
          <w:szCs w:val="20"/>
        </w:rPr>
        <w:t>, Adjusted Net Income</w:t>
      </w:r>
      <w:r w:rsidRPr="00FD3B0C">
        <w:rPr>
          <w:rFonts w:ascii="Arial" w:hAnsi="Arial"/>
          <w:sz w:val="20"/>
          <w:szCs w:val="20"/>
        </w:rPr>
        <w:t xml:space="preserve"> and Adjusted EPS as key performance measures of our earnings performance. We believe that both management and investors benefit from referring to these non-GAAP financial measures in assessing our performance and when planning, forecasting and analyzing future periods. These non-GAAP financial measures also facilitate management’s internal comparison to our historical performance. In addition, management uses Adjusted EPS as a performance measure for our incentive compensation</w:t>
      </w:r>
      <w:r w:rsidR="005732AA">
        <w:rPr>
          <w:rFonts w:ascii="Arial" w:hAnsi="Arial"/>
          <w:sz w:val="20"/>
          <w:szCs w:val="20"/>
        </w:rPr>
        <w:t xml:space="preserve"> during normal operations</w:t>
      </w:r>
      <w:r w:rsidRPr="00FD3B0C">
        <w:rPr>
          <w:rFonts w:ascii="Arial" w:hAnsi="Arial"/>
          <w:sz w:val="20"/>
          <w:szCs w:val="20"/>
        </w:rPr>
        <w:t xml:space="preserve">. The amounts excluded in </w:t>
      </w:r>
      <w:r w:rsidRPr="00EF14F4">
        <w:rPr>
          <w:rFonts w:ascii="Arial" w:hAnsi="Arial"/>
          <w:sz w:val="20"/>
          <w:szCs w:val="20"/>
        </w:rPr>
        <w:t>the presentation of these non-GAAP financ</w:t>
      </w:r>
      <w:r w:rsidRPr="002A2056">
        <w:rPr>
          <w:rFonts w:ascii="Arial" w:hAnsi="Arial"/>
          <w:sz w:val="20"/>
          <w:szCs w:val="20"/>
        </w:rPr>
        <w:t>ial measures may vary from period to period; accordingly, our presentation of Adjusted Net Loss and Adjusted EPS may not be indicative of future adjustments or results.</w:t>
      </w:r>
      <w:r w:rsidRPr="00F95300">
        <w:rPr>
          <w:rFonts w:ascii="Arial" w:hAnsi="Arial"/>
          <w:sz w:val="20"/>
          <w:szCs w:val="20"/>
        </w:rPr>
        <w:t xml:space="preserve"> For example, for the </w:t>
      </w:r>
      <w:r w:rsidR="0020114E">
        <w:rPr>
          <w:rFonts w:ascii="Arial" w:hAnsi="Arial"/>
          <w:sz w:val="20"/>
          <w:szCs w:val="20"/>
        </w:rPr>
        <w:t xml:space="preserve">year </w:t>
      </w:r>
      <w:r w:rsidRPr="00F95300">
        <w:rPr>
          <w:rFonts w:ascii="Arial" w:hAnsi="Arial"/>
          <w:sz w:val="20"/>
          <w:szCs w:val="20"/>
        </w:rPr>
        <w:t xml:space="preserve">ended </w:t>
      </w:r>
      <w:r w:rsidR="0020114E">
        <w:rPr>
          <w:rFonts w:ascii="Arial" w:hAnsi="Arial"/>
          <w:sz w:val="20"/>
          <w:szCs w:val="20"/>
        </w:rPr>
        <w:t>December 31</w:t>
      </w:r>
      <w:r w:rsidRPr="00F95300">
        <w:rPr>
          <w:rFonts w:ascii="Arial" w:hAnsi="Arial"/>
          <w:sz w:val="20"/>
          <w:szCs w:val="20"/>
        </w:rPr>
        <w:t xml:space="preserve">, 2020, we incurred $1.6 billion related to impairment losses. </w:t>
      </w:r>
      <w:r w:rsidRPr="00EF14F4">
        <w:rPr>
          <w:rFonts w:ascii="Arial" w:hAnsi="Arial"/>
          <w:sz w:val="20"/>
          <w:szCs w:val="20"/>
        </w:rPr>
        <w:t>We included</w:t>
      </w:r>
      <w:r w:rsidRPr="00FD3B0C">
        <w:rPr>
          <w:rFonts w:ascii="Arial" w:hAnsi="Arial"/>
          <w:sz w:val="20"/>
          <w:szCs w:val="20"/>
        </w:rPr>
        <w:t xml:space="preserve"> this as an adjustment in the reconciliation of Adjusted Net Loss since the expenses are not representative of our day-to-day operations; however, this adjustment did not occur and is not included in the comparative period presented within this release.</w:t>
      </w:r>
    </w:p>
    <w:p w14:paraId="0692CE2B" w14:textId="77777777" w:rsidR="00F51C0C" w:rsidRPr="00FD3B0C" w:rsidRDefault="00F51C0C" w:rsidP="00F51C0C">
      <w:pPr>
        <w:pStyle w:val="NormalWeb"/>
        <w:rPr>
          <w:rFonts w:ascii="Arial" w:hAnsi="Arial"/>
          <w:sz w:val="20"/>
          <w:szCs w:val="20"/>
        </w:rPr>
      </w:pPr>
    </w:p>
    <w:p w14:paraId="48FBFD0B" w14:textId="77777777" w:rsidR="00F51C0C" w:rsidRPr="00FD3B0C" w:rsidRDefault="00F51C0C" w:rsidP="00F51C0C">
      <w:pPr>
        <w:pStyle w:val="NormalWeb"/>
        <w:rPr>
          <w:rFonts w:ascii="Arial" w:hAnsi="Arial"/>
          <w:sz w:val="20"/>
          <w:szCs w:val="20"/>
        </w:rPr>
      </w:pPr>
      <w:r w:rsidRPr="00FD3B0C">
        <w:rPr>
          <w:rFonts w:ascii="Arial" w:hAnsi="Arial"/>
          <w:sz w:val="20"/>
          <w:szCs w:val="20"/>
        </w:rPr>
        <w:t xml:space="preserve">You are encouraged to evaluate each adjustment used in calculating our non-GAAP financial measures and the reasons we consider our non-GAAP financial measures appropriate for supplemental analysis. In evaluating our non-GAAP financial measures, you should be aware that in the future we </w:t>
      </w:r>
      <w:proofErr w:type="gramStart"/>
      <w:r w:rsidRPr="00FD3B0C">
        <w:rPr>
          <w:rFonts w:ascii="Arial" w:hAnsi="Arial"/>
          <w:sz w:val="20"/>
          <w:szCs w:val="20"/>
        </w:rPr>
        <w:t>may</w:t>
      </w:r>
      <w:proofErr w:type="gramEnd"/>
      <w:r w:rsidRPr="00FD3B0C">
        <w:rPr>
          <w:rFonts w:ascii="Arial" w:hAnsi="Arial"/>
          <w:sz w:val="20"/>
          <w:szCs w:val="20"/>
        </w:rPr>
        <w:t xml:space="preserve"> incur expenses similar to the adjustments in our presentation. Our non-GAAP financial measures have limitations as analytical tools, and you should not consider these measures in isolation or as a substitute for analysis of our results as reported under GAAP. Our presentation of our non-GAAP financial measures should not be construed as an inference that our future results will be unaffected by unusual or non-recurring items. Our non-GAAP financial measures may not be comparable to other companies. Please see a historical reconciliation of these measures to the most comparable GAAP measure presented in our consolidated financial statements below.</w:t>
      </w:r>
    </w:p>
    <w:p w14:paraId="61A073A2" w14:textId="6F825DDA" w:rsidR="00B0580E" w:rsidRPr="00FD3B0C" w:rsidRDefault="00B0580E">
      <w:pPr>
        <w:pStyle w:val="NormalWeb"/>
        <w:rPr>
          <w:rFonts w:ascii="Arial" w:hAnsi="Arial"/>
          <w:sz w:val="20"/>
          <w:szCs w:val="20"/>
        </w:rPr>
      </w:pPr>
    </w:p>
    <w:p w14:paraId="638100F1" w14:textId="182BBB77" w:rsidR="00B0580E" w:rsidRPr="00FD3B0C" w:rsidRDefault="00B0580E">
      <w:pPr>
        <w:pStyle w:val="NormalWeb"/>
        <w:spacing w:before="0" w:after="0"/>
        <w:jc w:val="both"/>
        <w:rPr>
          <w:rFonts w:ascii="Arial" w:hAnsi="Arial"/>
          <w:sz w:val="20"/>
          <w:szCs w:val="20"/>
        </w:rPr>
      </w:pPr>
    </w:p>
    <w:p w14:paraId="1DD65169" w14:textId="5380EFF1" w:rsidR="009807FB" w:rsidRPr="00FD3B0C" w:rsidRDefault="009807FB">
      <w:pPr>
        <w:jc w:val="both"/>
        <w:rPr>
          <w:rFonts w:ascii="Arial" w:eastAsia="Arial" w:hAnsi="Arial"/>
          <w:sz w:val="18"/>
          <w:szCs w:val="18"/>
        </w:rPr>
      </w:pPr>
      <w:bookmarkStart w:id="31" w:name="_Hlk46763263"/>
    </w:p>
    <w:p w14:paraId="61F5C94D" w14:textId="77777777" w:rsidR="009807FB" w:rsidRPr="00FD3B0C" w:rsidRDefault="009807FB" w:rsidP="009807FB">
      <w:pPr>
        <w:spacing w:line="360" w:lineRule="auto"/>
        <w:jc w:val="both"/>
        <w:rPr>
          <w:rFonts w:ascii="Arial" w:eastAsia="Arial" w:hAnsi="Arial" w:cs="Arial"/>
          <w:b/>
          <w:bCs/>
          <w:spacing w:val="-2"/>
          <w:sz w:val="18"/>
          <w:szCs w:val="18"/>
          <w:u w:val="single"/>
        </w:rPr>
      </w:pPr>
      <w:r w:rsidRPr="00FD3B0C">
        <w:rPr>
          <w:rFonts w:ascii="Arial" w:hAnsi="Arial"/>
          <w:b/>
          <w:bCs/>
          <w:spacing w:val="-2"/>
          <w:sz w:val="18"/>
          <w:szCs w:val="18"/>
          <w:u w:val="single"/>
        </w:rPr>
        <w:t>Cautionary Statement Concerning Forward-Looking Statements</w:t>
      </w:r>
    </w:p>
    <w:p w14:paraId="2D388B21" w14:textId="77777777" w:rsidR="009807FB" w:rsidRPr="00FD3B0C" w:rsidRDefault="009807FB" w:rsidP="009807FB">
      <w:pPr>
        <w:jc w:val="both"/>
        <w:rPr>
          <w:rFonts w:ascii="Arial" w:hAnsi="Arial"/>
          <w:sz w:val="18"/>
          <w:szCs w:val="18"/>
        </w:rPr>
      </w:pPr>
    </w:p>
    <w:p w14:paraId="7A5FEB0A" w14:textId="77777777" w:rsidR="005732AA" w:rsidRPr="00FD3B0C" w:rsidRDefault="005732AA" w:rsidP="005732AA">
      <w:pPr>
        <w:jc w:val="both"/>
        <w:rPr>
          <w:rFonts w:ascii="Arial" w:hAnsi="Arial"/>
          <w:sz w:val="18"/>
          <w:szCs w:val="18"/>
        </w:rPr>
      </w:pPr>
      <w:r w:rsidRPr="00F25AA3">
        <w:rPr>
          <w:rFonts w:ascii="Arial" w:hAnsi="Arial"/>
          <w:sz w:val="18"/>
          <w:szCs w:val="18"/>
        </w:rPr>
        <w:t xml:space="preserve">Some of the statements, estimates or projections contained in this release are “forward-looking statements” within the meaning of the U.S. federal securities laws intended to qualify for the safe harbor from liability established by the Private Securities Litigation Reform Act of 1995. All statements other than statements of historical facts contained, or incorporated by reference, in this release, including, without limitation, those regarding our business strategy, financial position, results of operations, plans, prospects, actions taken or strategies being considered with respect to our liquidity position, valuation and appraisals of our assets and objectives of management for future operations (including those regarding expected fleet additions, our ability to weather the impacts of the COVID-19 pandemic, our expectations regarding the resumption of cruise voyages and the timing for such resumption of cruise voyages, the implementation of and effectiveness of our health and safety protocols, operational position, demand for voyages, plans or goals for our sustainability program and </w:t>
      </w:r>
      <w:proofErr w:type="spellStart"/>
      <w:r w:rsidRPr="00F25AA3">
        <w:rPr>
          <w:rFonts w:ascii="Arial" w:hAnsi="Arial"/>
          <w:sz w:val="18"/>
          <w:szCs w:val="18"/>
        </w:rPr>
        <w:t>decarbonization</w:t>
      </w:r>
      <w:proofErr w:type="spellEnd"/>
      <w:r w:rsidRPr="00F25AA3">
        <w:rPr>
          <w:rFonts w:ascii="Arial" w:hAnsi="Arial"/>
          <w:sz w:val="18"/>
          <w:szCs w:val="18"/>
        </w:rPr>
        <w:t xml:space="preserve"> efforts, our expectations for future cash flows and profitability, financing opportunities and extensions, and future cost mitigation and cash conservation efforts and efforts to reduce operating expenses and capital expenditures) are forward-looking statements. Many, but not all, of these statements can be found by looking for words like “expect,” “anticipate,” “goal,” “project,” “plan,” “believe,” “seek,” “will,” “may,” “forecast,” “estimate,” “intend,” “future” and similar words. Forward-looking statements do not guarantee future performance and may involve risks, uncertainties and other </w:t>
      </w:r>
      <w:proofErr w:type="gramStart"/>
      <w:r w:rsidRPr="00F25AA3">
        <w:rPr>
          <w:rFonts w:ascii="Arial" w:hAnsi="Arial"/>
          <w:sz w:val="18"/>
          <w:szCs w:val="18"/>
        </w:rPr>
        <w:t>factors which</w:t>
      </w:r>
      <w:proofErr w:type="gramEnd"/>
      <w:r w:rsidRPr="00F25AA3">
        <w:rPr>
          <w:rFonts w:ascii="Arial" w:hAnsi="Arial"/>
          <w:sz w:val="18"/>
          <w:szCs w:val="18"/>
        </w:rPr>
        <w:t xml:space="preserve"> could cause our actual results, performance or achievements to differ materially from the future results, performance or achievements expressed or implied in those forward-looking statements.  Examples of these risks, uncertainties and other factors include, but are not limited to the impact of: the spread of epidemics, pandemics and viral outbreaks and specifically, the COVID-19 pandemic, including its effect on the ability or desire of people to travel (including on cruises), which is expected to continue to adversely impact our results, operations, outlook, plans, goals, growth, reputation, cash flows, liquidity, demand for voyages and share price; implementing precautions in coordination with regulators and global public health authorities to protect the health, safety and security of guests, crew and the communities we visit and to comply with regulatory restrictions related to the pandemic; legislation prohibiting companies from verifying vaccination status; our indebtedness and restrictions in the agreements governing our indebtedness that require us to maintain minimum levels of liquidity and be in compliance with maintenance covenants and otherwise limit our flexibility in operating our business, including the significant portion of assets that are collateral under these agreements; our ability to work with lenders and others or otherwise pursue options to defer, renegotiate, refinance or restructure our existing debt profile, near-term debt amortization, </w:t>
      </w:r>
      <w:proofErr w:type="spellStart"/>
      <w:r w:rsidRPr="00F25AA3">
        <w:rPr>
          <w:rFonts w:ascii="Arial" w:hAnsi="Arial"/>
          <w:sz w:val="18"/>
          <w:szCs w:val="18"/>
        </w:rPr>
        <w:t>newbuild</w:t>
      </w:r>
      <w:proofErr w:type="spellEnd"/>
      <w:r w:rsidRPr="00F25AA3">
        <w:rPr>
          <w:rFonts w:ascii="Arial" w:hAnsi="Arial"/>
          <w:sz w:val="18"/>
          <w:szCs w:val="18"/>
        </w:rPr>
        <w:t xml:space="preserve"> related payments and other obligations and to work with credit card processors to satisfy current or potential future demands for collateral on cash advanced from customers relating to future cruises; our need for additional financing or </w:t>
      </w:r>
      <w:r w:rsidRPr="00F25AA3">
        <w:rPr>
          <w:rFonts w:ascii="Arial" w:hAnsi="Arial"/>
          <w:sz w:val="18"/>
          <w:szCs w:val="18"/>
        </w:rPr>
        <w:lastRenderedPageBreak/>
        <w:t>financing to optimize our balance sheet, which may not be available on favorable terms, or at all, and our outstanding exchangeable notes and any future financing which may be dilutive to existing shareholders; the unavailability of ports of call; future increases in the price of, or major changes or reduction in, commercial airline services; changes involving the tax and environmental regulatory regimes in which we operate, including new regulations aimed at reducing greenhouse gas emissions; the accuracy of any appraisals of our assets as a result of the impact of the COVID-19 pandemic or otherwise; our success in controlling operating expenses and capital expenditures; trends in, or changes to, future bookings and our ability to take future reservations and receive deposits related thereto; adverse events impacting the security of travel, such as terrorist acts, armed conflict and threats thereof, acts of piracy, and other international events; adverse incidents involving cruise ships; adverse general economic and related factors, such as fluctuating or increasing levels of interest, unemployment, underemployment and the volatility of fuel prices, declines in the securities and real estate markets, and perceptions of these conditions that decrease the level of disposable income of consumers or consumer confidence; breaches in data security or other disturbances to our information technology and other networks or our actual or perceived failure to comply with requirements regarding data privacy and protection; changes in fuel prices and the type of fuel we are permitted to use and/or other cruise operating costs; mechanical malfunctions and repairs, delays in our shipbuilding program, maintenance and refurbishments and the consolidation of qualified shipyard facilities; the risks and increased costs associated with operating internationally; our inability to recruit or retain qualified personnel or the loss of key personnel or employee relations issues; our inability to obtain adequate insurance coverage; pending or threatened litigation, investigations and enforcement actions; any further impairment of our trademarks, trade names or goodwill; volatility and disruptions in the global credit and financial markets, which may adversely affect our ability to borrow and could increase our counterparty credit risks, including those under our credit facilities, derivatives, contingent obligations, insurance contracts and new ship progress payment guarantees; our reliance on third parties to provide hotel management services for certain ships and certain other services; fluctuations in foreign currency exchange rates; our expansion into new markets and investments in new markets and land-based destination projects; overcapacity in key markets or globally; and other factors set forth under “Risk Factors” in our most recently filed Annual Report on Form 10-K, Quarterly Report on Form 10-Q and subsequent filings with the Securities and Exchange Commission. Additionally, many of these risks and uncertainties are currently amplified by and will continue to be amplified by, or in the future may be amplified by, the COVID-19 pandemic. It is not possible to predict or identify all such risks. There may be additional risks that we consider immaterial or which are unknown. In addition, some of our executive officers and directors have not sold their shares in us since the beginning of the COVID-19 pandemic as a gesture of support for our Company as they navigated us through unprecedented challenges. Now that we have resumed operations, we anticipate that our executive officers and directors may sell shares under Rule 10b5-1 plans beginning in the first quarter of 2022 as part of their ordinary course financial planning. The above examples are not exhaustive and new risks emerge from time to time. Such forward-looking statements are based on our current beliefs, assumptions, expectations, estimates and projections regarding our present and future business strategies and the environment in which we expect to operate in the future. These forward-looking statements speak only as of the date made. We expressly disclaim any obligation or undertaking to release publicly any updates or revisions to any forward-looking statement to reflect any change in our expectations with regard thereto or any change of events, conditions or circumstances on which any such statement was based, except as required by law.</w:t>
      </w:r>
    </w:p>
    <w:p w14:paraId="60EE69D7" w14:textId="77777777" w:rsidR="00190561" w:rsidRPr="00FD3B0C" w:rsidRDefault="00190561" w:rsidP="00190561">
      <w:pPr>
        <w:jc w:val="both"/>
        <w:rPr>
          <w:rFonts w:ascii="Arial" w:hAnsi="Arial"/>
          <w:sz w:val="18"/>
          <w:szCs w:val="18"/>
        </w:rPr>
      </w:pPr>
    </w:p>
    <w:p w14:paraId="1FCC4800" w14:textId="5A1CE72D" w:rsidR="00C06DCE" w:rsidRPr="00FD3B0C" w:rsidRDefault="00C06DCE" w:rsidP="00C06DCE">
      <w:pPr>
        <w:jc w:val="both"/>
        <w:rPr>
          <w:rFonts w:ascii="Arial" w:hAnsi="Arial"/>
          <w:sz w:val="18"/>
          <w:szCs w:val="18"/>
        </w:rPr>
      </w:pPr>
    </w:p>
    <w:p w14:paraId="49D2837C" w14:textId="77777777" w:rsidR="00C06DCE" w:rsidRPr="00DD18C3" w:rsidRDefault="00C06DCE" w:rsidP="009807FB">
      <w:pPr>
        <w:jc w:val="both"/>
        <w:rPr>
          <w:rFonts w:ascii="Arial" w:hAnsi="Arial"/>
          <w:sz w:val="18"/>
          <w:szCs w:val="18"/>
          <w:highlight w:val="yellow"/>
        </w:rPr>
      </w:pPr>
    </w:p>
    <w:p w14:paraId="13825EC4" w14:textId="77777777" w:rsidR="009807FB" w:rsidRPr="00DD18C3" w:rsidRDefault="009807FB">
      <w:pPr>
        <w:jc w:val="both"/>
        <w:rPr>
          <w:rFonts w:ascii="Arial" w:eastAsia="Arial" w:hAnsi="Arial" w:cs="Arial"/>
          <w:sz w:val="18"/>
          <w:szCs w:val="18"/>
          <w:highlight w:val="yellow"/>
        </w:rPr>
      </w:pPr>
    </w:p>
    <w:bookmarkEnd w:id="31"/>
    <w:tbl>
      <w:tblPr>
        <w:tblW w:w="9588" w:type="dxa"/>
        <w:tblLook w:val="04A0" w:firstRow="1" w:lastRow="0" w:firstColumn="1" w:lastColumn="0" w:noHBand="0" w:noVBand="1"/>
      </w:tblPr>
      <w:tblGrid>
        <w:gridCol w:w="4794"/>
        <w:gridCol w:w="4794"/>
      </w:tblGrid>
      <w:tr w:rsidR="00545B2E" w:rsidRPr="00FC5478" w14:paraId="6F5992CA" w14:textId="77777777" w:rsidTr="002A6714">
        <w:trPr>
          <w:trHeight w:val="392"/>
        </w:trPr>
        <w:tc>
          <w:tcPr>
            <w:tcW w:w="4794" w:type="dxa"/>
            <w:shd w:val="clear" w:color="auto" w:fill="auto"/>
          </w:tcPr>
          <w:p w14:paraId="6906E41A" w14:textId="77777777" w:rsidR="003106B6" w:rsidRPr="00FC5478" w:rsidRDefault="003106B6" w:rsidP="00F84EAC">
            <w:pPr>
              <w:rPr>
                <w:rFonts w:ascii="Arial" w:hAnsi="Arial" w:cs="Arial"/>
                <w:b/>
                <w:sz w:val="20"/>
                <w:szCs w:val="20"/>
                <w:u w:val="single"/>
              </w:rPr>
            </w:pPr>
          </w:p>
          <w:p w14:paraId="77A9C239" w14:textId="49AC10A2" w:rsidR="00545B2E" w:rsidRPr="00FC5478" w:rsidRDefault="00545B2E" w:rsidP="00F84EAC">
            <w:pPr>
              <w:rPr>
                <w:rFonts w:ascii="Arial" w:hAnsi="Arial" w:cs="Arial"/>
                <w:b/>
                <w:sz w:val="20"/>
                <w:szCs w:val="20"/>
                <w:u w:val="single"/>
              </w:rPr>
            </w:pPr>
            <w:r w:rsidRPr="00FC5478">
              <w:rPr>
                <w:rFonts w:ascii="Arial" w:hAnsi="Arial" w:cs="Arial"/>
                <w:b/>
                <w:sz w:val="20"/>
                <w:szCs w:val="20"/>
                <w:u w:val="single"/>
              </w:rPr>
              <w:t>Investor Relations &amp; Media Contact</w:t>
            </w:r>
          </w:p>
          <w:p w14:paraId="64659F7A" w14:textId="744E373B" w:rsidR="000211ED" w:rsidRPr="00FC5478" w:rsidRDefault="000211ED" w:rsidP="00F84EAC">
            <w:pPr>
              <w:rPr>
                <w:rFonts w:ascii="Arial" w:hAnsi="Arial" w:cs="Arial"/>
                <w:b/>
                <w:sz w:val="20"/>
                <w:szCs w:val="20"/>
                <w:u w:val="single"/>
              </w:rPr>
            </w:pPr>
          </w:p>
        </w:tc>
        <w:tc>
          <w:tcPr>
            <w:tcW w:w="4794" w:type="dxa"/>
            <w:shd w:val="clear" w:color="auto" w:fill="auto"/>
          </w:tcPr>
          <w:p w14:paraId="29A3F5CC" w14:textId="77777777" w:rsidR="00545B2E" w:rsidRPr="00DD18C3" w:rsidRDefault="00545B2E" w:rsidP="00F84EAC">
            <w:pPr>
              <w:ind w:left="1440"/>
              <w:rPr>
                <w:rFonts w:ascii="Arial" w:hAnsi="Arial" w:cs="Arial"/>
                <w:b/>
                <w:sz w:val="20"/>
                <w:szCs w:val="20"/>
                <w:highlight w:val="yellow"/>
                <w:u w:val="single"/>
              </w:rPr>
            </w:pPr>
          </w:p>
          <w:p w14:paraId="12194ADC" w14:textId="77777777" w:rsidR="00545B2E" w:rsidRPr="00DD18C3" w:rsidRDefault="00545B2E" w:rsidP="00F84EAC">
            <w:pPr>
              <w:ind w:left="1440"/>
              <w:rPr>
                <w:rFonts w:ascii="Arial" w:hAnsi="Arial" w:cs="Arial"/>
                <w:b/>
                <w:sz w:val="20"/>
                <w:szCs w:val="20"/>
                <w:highlight w:val="yellow"/>
                <w:u w:val="single"/>
              </w:rPr>
            </w:pPr>
          </w:p>
        </w:tc>
      </w:tr>
      <w:tr w:rsidR="00545B2E" w:rsidRPr="00FC5478" w14:paraId="39F2FCEF" w14:textId="77777777" w:rsidTr="002A6714">
        <w:trPr>
          <w:trHeight w:val="196"/>
        </w:trPr>
        <w:tc>
          <w:tcPr>
            <w:tcW w:w="4794" w:type="dxa"/>
            <w:shd w:val="clear" w:color="auto" w:fill="auto"/>
          </w:tcPr>
          <w:p w14:paraId="5A614A6A" w14:textId="75D67066" w:rsidR="00545B2E" w:rsidRPr="00FC5478" w:rsidRDefault="006A70A2" w:rsidP="00F84EAC">
            <w:pPr>
              <w:rPr>
                <w:rFonts w:ascii="Arial" w:hAnsi="Arial" w:cs="Arial"/>
                <w:i/>
                <w:sz w:val="20"/>
                <w:szCs w:val="20"/>
              </w:rPr>
            </w:pPr>
            <w:proofErr w:type="spellStart"/>
            <w:r>
              <w:rPr>
                <w:rFonts w:ascii="Arial" w:hAnsi="Arial" w:cs="Arial"/>
                <w:i/>
                <w:sz w:val="20"/>
                <w:szCs w:val="20"/>
              </w:rPr>
              <w:t>Edel</w:t>
            </w:r>
            <w:proofErr w:type="spellEnd"/>
            <w:r>
              <w:rPr>
                <w:rFonts w:ascii="Arial" w:hAnsi="Arial" w:cs="Arial"/>
                <w:i/>
                <w:sz w:val="20"/>
                <w:szCs w:val="20"/>
              </w:rPr>
              <w:t xml:space="preserve"> Cruz</w:t>
            </w:r>
          </w:p>
        </w:tc>
        <w:tc>
          <w:tcPr>
            <w:tcW w:w="4794" w:type="dxa"/>
            <w:shd w:val="clear" w:color="auto" w:fill="auto"/>
          </w:tcPr>
          <w:p w14:paraId="6170A83C" w14:textId="77777777" w:rsidR="00545B2E" w:rsidRPr="00DD18C3" w:rsidRDefault="00545B2E" w:rsidP="00F84EAC">
            <w:pPr>
              <w:ind w:left="1440"/>
              <w:rPr>
                <w:rFonts w:ascii="Arial" w:hAnsi="Arial" w:cs="Arial"/>
                <w:i/>
                <w:sz w:val="20"/>
                <w:szCs w:val="20"/>
                <w:highlight w:val="yellow"/>
              </w:rPr>
            </w:pPr>
          </w:p>
        </w:tc>
      </w:tr>
      <w:tr w:rsidR="00545B2E" w:rsidRPr="00FC5478" w14:paraId="3A9FCB8F" w14:textId="77777777" w:rsidTr="002A6714">
        <w:trPr>
          <w:trHeight w:val="441"/>
        </w:trPr>
        <w:tc>
          <w:tcPr>
            <w:tcW w:w="4794" w:type="dxa"/>
            <w:shd w:val="clear" w:color="auto" w:fill="auto"/>
          </w:tcPr>
          <w:p w14:paraId="39DE2F52" w14:textId="77777777" w:rsidR="00545B2E" w:rsidRPr="00FC5478" w:rsidRDefault="00545B2E" w:rsidP="00F84EAC">
            <w:pPr>
              <w:rPr>
                <w:rFonts w:ascii="Arial" w:hAnsi="Arial" w:cs="Arial"/>
                <w:sz w:val="20"/>
                <w:szCs w:val="20"/>
                <w:lang w:val="nb-NO"/>
              </w:rPr>
            </w:pPr>
            <w:r w:rsidRPr="00FC5478">
              <w:rPr>
                <w:rFonts w:ascii="Arial" w:hAnsi="Arial" w:cs="Arial"/>
                <w:sz w:val="20"/>
                <w:szCs w:val="20"/>
                <w:lang w:val="nb-NO"/>
              </w:rPr>
              <w:t>(305) 468-2339</w:t>
            </w:r>
          </w:p>
          <w:p w14:paraId="5520690C" w14:textId="52ABDBCC" w:rsidR="00545B2E" w:rsidRPr="00FC5478" w:rsidRDefault="002D35C6" w:rsidP="00A512C1">
            <w:pPr>
              <w:rPr>
                <w:rFonts w:ascii="Arial" w:hAnsi="Arial" w:cs="Arial"/>
                <w:sz w:val="20"/>
                <w:szCs w:val="20"/>
                <w:lang w:val="nb-NO"/>
              </w:rPr>
            </w:pPr>
            <w:hyperlink r:id="rId12" w:history="1">
              <w:r w:rsidR="00545B2E" w:rsidRPr="00FC5478">
                <w:rPr>
                  <w:rStyle w:val="Hipervnculo"/>
                  <w:rFonts w:ascii="Arial" w:hAnsi="Arial" w:cs="Arial"/>
                  <w:sz w:val="20"/>
                  <w:szCs w:val="20"/>
                  <w:lang w:val="nb-NO"/>
                </w:rPr>
                <w:t>InvestorRelations@nclcorp.com</w:t>
              </w:r>
            </w:hyperlink>
          </w:p>
        </w:tc>
        <w:tc>
          <w:tcPr>
            <w:tcW w:w="4794" w:type="dxa"/>
            <w:shd w:val="clear" w:color="auto" w:fill="auto"/>
          </w:tcPr>
          <w:p w14:paraId="576AE353" w14:textId="77777777" w:rsidR="00545B2E" w:rsidRPr="00DD18C3" w:rsidRDefault="00545B2E" w:rsidP="00F84EAC">
            <w:pPr>
              <w:ind w:left="1440"/>
              <w:rPr>
                <w:rFonts w:ascii="Arial" w:hAnsi="Arial" w:cs="Arial"/>
                <w:sz w:val="20"/>
                <w:szCs w:val="20"/>
                <w:highlight w:val="yellow"/>
              </w:rPr>
            </w:pPr>
          </w:p>
        </w:tc>
      </w:tr>
    </w:tbl>
    <w:p w14:paraId="63E20944" w14:textId="5569B535" w:rsidR="00EB1918" w:rsidRDefault="00EB1918">
      <w:r w:rsidRPr="00DD18C3">
        <w:rPr>
          <w:highlight w:val="yellow"/>
        </w:rPr>
        <w:br w:type="page"/>
      </w:r>
      <w:r w:rsidR="00A505A8" w:rsidRPr="00DD18C3">
        <w:rPr>
          <w:highlight w:val="yellow"/>
        </w:rPr>
        <w:lastRenderedPageBreak/>
        <w:t xml:space="preserve"> </w:t>
      </w:r>
      <w:r w:rsidR="00873B33" w:rsidRPr="00873B33">
        <w:rPr>
          <w:noProof/>
          <w:lang w:val="es-ES" w:eastAsia="es-ES"/>
        </w:rPr>
        <w:drawing>
          <wp:inline distT="0" distB="0" distL="0" distR="0" wp14:anchorId="4D32A26A" wp14:editId="5D8C5E7B">
            <wp:extent cx="5943600" cy="487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870450"/>
                    </a:xfrm>
                    <a:prstGeom prst="rect">
                      <a:avLst/>
                    </a:prstGeom>
                    <a:noFill/>
                    <a:ln>
                      <a:noFill/>
                    </a:ln>
                  </pic:spPr>
                </pic:pic>
              </a:graphicData>
            </a:graphic>
          </wp:inline>
        </w:drawing>
      </w:r>
    </w:p>
    <w:p w14:paraId="0D0BA72E" w14:textId="039F6190" w:rsidR="006A70A2" w:rsidRDefault="006A70A2"/>
    <w:p w14:paraId="146E7A9A" w14:textId="6D621CA4" w:rsidR="006A70A2" w:rsidRDefault="006A70A2">
      <w:pPr>
        <w:rPr>
          <w:highlight w:val="yellow"/>
        </w:rPr>
      </w:pPr>
      <w:r>
        <w:rPr>
          <w:highlight w:val="yellow"/>
        </w:rPr>
        <w:br w:type="page"/>
      </w:r>
    </w:p>
    <w:p w14:paraId="67F1B058" w14:textId="75E98203" w:rsidR="006A70A2" w:rsidRDefault="00873B33">
      <w:r w:rsidRPr="00873B33">
        <w:rPr>
          <w:noProof/>
          <w:lang w:val="es-ES" w:eastAsia="es-ES"/>
        </w:rPr>
        <w:lastRenderedPageBreak/>
        <w:drawing>
          <wp:inline distT="0" distB="0" distL="0" distR="0" wp14:anchorId="06B1619B" wp14:editId="0E0F11E6">
            <wp:extent cx="5943600" cy="2014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014855"/>
                    </a:xfrm>
                    <a:prstGeom prst="rect">
                      <a:avLst/>
                    </a:prstGeom>
                    <a:noFill/>
                    <a:ln>
                      <a:noFill/>
                    </a:ln>
                  </pic:spPr>
                </pic:pic>
              </a:graphicData>
            </a:graphic>
          </wp:inline>
        </w:drawing>
      </w:r>
    </w:p>
    <w:p w14:paraId="0FA0ABF7" w14:textId="7BF93E10" w:rsidR="006A70A2" w:rsidRDefault="006A70A2"/>
    <w:p w14:paraId="23CEE546" w14:textId="626E79F3" w:rsidR="006A70A2" w:rsidRDefault="006A70A2"/>
    <w:p w14:paraId="1D182B7E" w14:textId="48E78E08" w:rsidR="006A70A2" w:rsidRDefault="006A70A2"/>
    <w:p w14:paraId="7640B0C1" w14:textId="2AC9D2E0" w:rsidR="006A70A2" w:rsidRDefault="006A70A2">
      <w:r>
        <w:br w:type="page"/>
      </w:r>
    </w:p>
    <w:p w14:paraId="1BABB178" w14:textId="66A4CD05" w:rsidR="006A70A2" w:rsidRDefault="00873B33">
      <w:r w:rsidRPr="00873B33">
        <w:rPr>
          <w:noProof/>
          <w:lang w:val="es-ES" w:eastAsia="es-ES"/>
        </w:rPr>
        <w:lastRenderedPageBreak/>
        <w:drawing>
          <wp:inline distT="0" distB="0" distL="0" distR="0" wp14:anchorId="075C0D90" wp14:editId="1B0CEF1E">
            <wp:extent cx="5943600" cy="4769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769485"/>
                    </a:xfrm>
                    <a:prstGeom prst="rect">
                      <a:avLst/>
                    </a:prstGeom>
                    <a:noFill/>
                    <a:ln>
                      <a:noFill/>
                    </a:ln>
                  </pic:spPr>
                </pic:pic>
              </a:graphicData>
            </a:graphic>
          </wp:inline>
        </w:drawing>
      </w:r>
    </w:p>
    <w:p w14:paraId="674BD0A1" w14:textId="77777777" w:rsidR="006A70A2" w:rsidRDefault="006A70A2">
      <w:r>
        <w:br w:type="page"/>
      </w:r>
    </w:p>
    <w:p w14:paraId="20980DB3" w14:textId="196CCB9A" w:rsidR="006A70A2" w:rsidRDefault="00873B33">
      <w:r w:rsidRPr="00873B33">
        <w:rPr>
          <w:noProof/>
          <w:lang w:val="es-ES" w:eastAsia="es-ES"/>
        </w:rPr>
        <w:lastRenderedPageBreak/>
        <w:drawing>
          <wp:inline distT="0" distB="0" distL="0" distR="0" wp14:anchorId="0603C292" wp14:editId="3B5ACF23">
            <wp:extent cx="5943600" cy="7580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580630"/>
                    </a:xfrm>
                    <a:prstGeom prst="rect">
                      <a:avLst/>
                    </a:prstGeom>
                    <a:noFill/>
                    <a:ln>
                      <a:noFill/>
                    </a:ln>
                  </pic:spPr>
                </pic:pic>
              </a:graphicData>
            </a:graphic>
          </wp:inline>
        </w:drawing>
      </w:r>
    </w:p>
    <w:p w14:paraId="3F11AF71" w14:textId="77777777" w:rsidR="006A70A2" w:rsidRDefault="006A70A2">
      <w:r>
        <w:br w:type="page"/>
      </w:r>
    </w:p>
    <w:p w14:paraId="06435DDA" w14:textId="4947FC1A" w:rsidR="006A70A2" w:rsidRDefault="00873B33">
      <w:r w:rsidRPr="00873B33">
        <w:rPr>
          <w:noProof/>
          <w:lang w:val="es-ES" w:eastAsia="es-ES"/>
        </w:rPr>
        <w:lastRenderedPageBreak/>
        <w:drawing>
          <wp:inline distT="0" distB="0" distL="0" distR="0" wp14:anchorId="6BADF6C9" wp14:editId="1047B48F">
            <wp:extent cx="5943600" cy="4935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935855"/>
                    </a:xfrm>
                    <a:prstGeom prst="rect">
                      <a:avLst/>
                    </a:prstGeom>
                    <a:noFill/>
                    <a:ln>
                      <a:noFill/>
                    </a:ln>
                  </pic:spPr>
                </pic:pic>
              </a:graphicData>
            </a:graphic>
          </wp:inline>
        </w:drawing>
      </w:r>
    </w:p>
    <w:p w14:paraId="70CBD2CE" w14:textId="77777777" w:rsidR="006A70A2" w:rsidRDefault="006A70A2">
      <w:r>
        <w:br w:type="page"/>
      </w:r>
    </w:p>
    <w:p w14:paraId="0DEF0049" w14:textId="6A705B0F" w:rsidR="00AD3C89" w:rsidRDefault="00873B33" w:rsidP="00AD3C89">
      <w:pPr>
        <w:rPr>
          <w:rFonts w:ascii="Arial Unicode MS" w:hAnsi="Arial Unicode MS"/>
          <w:color w:val="FF0000"/>
        </w:rPr>
      </w:pPr>
      <w:r w:rsidRPr="00873B33">
        <w:rPr>
          <w:noProof/>
          <w:lang w:val="es-ES" w:eastAsia="es-ES"/>
        </w:rPr>
        <w:lastRenderedPageBreak/>
        <w:drawing>
          <wp:inline distT="0" distB="0" distL="0" distR="0" wp14:anchorId="617B765D" wp14:editId="4E82C855">
            <wp:extent cx="5943600" cy="6284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6284595"/>
                    </a:xfrm>
                    <a:prstGeom prst="rect">
                      <a:avLst/>
                    </a:prstGeom>
                    <a:noFill/>
                    <a:ln>
                      <a:noFill/>
                    </a:ln>
                  </pic:spPr>
                </pic:pic>
              </a:graphicData>
            </a:graphic>
          </wp:inline>
        </w:drawing>
      </w:r>
    </w:p>
    <w:p w14:paraId="7512DED8" w14:textId="77777777" w:rsidR="00AD3C89" w:rsidRDefault="00AD3C89">
      <w:pPr>
        <w:rPr>
          <w:rFonts w:ascii="Arial Unicode MS" w:hAnsi="Arial Unicode MS"/>
          <w:color w:val="FF0000"/>
        </w:rPr>
      </w:pPr>
      <w:r>
        <w:rPr>
          <w:rFonts w:ascii="Arial Unicode MS" w:hAnsi="Arial Unicode MS"/>
          <w:color w:val="FF0000"/>
        </w:rPr>
        <w:br w:type="page"/>
      </w:r>
    </w:p>
    <w:p w14:paraId="42491F88" w14:textId="285DA4AA" w:rsidR="0097683E" w:rsidRPr="00946DA5" w:rsidRDefault="0097683E" w:rsidP="00924194">
      <w:pPr>
        <w:rPr>
          <w:rFonts w:ascii="Arial Unicode MS" w:hAnsi="Arial Unicode MS"/>
          <w:color w:val="FF0000"/>
        </w:rPr>
      </w:pPr>
    </w:p>
    <w:sectPr w:rsidR="0097683E" w:rsidRPr="00946DA5" w:rsidSect="00210D08">
      <w:headerReference w:type="default" r:id="rId19"/>
      <w:footerReference w:type="default" r:id="rId20"/>
      <w:headerReference w:type="first" r:id="rId21"/>
      <w:pgSz w:w="12240" w:h="15840"/>
      <w:pgMar w:top="108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FCA3" w14:textId="77777777" w:rsidR="002D35C6" w:rsidRDefault="002D35C6">
      <w:r>
        <w:separator/>
      </w:r>
    </w:p>
  </w:endnote>
  <w:endnote w:type="continuationSeparator" w:id="0">
    <w:p w14:paraId="23051EE1" w14:textId="77777777" w:rsidR="002D35C6" w:rsidRDefault="002D35C6">
      <w:r>
        <w:continuationSeparator/>
      </w:r>
    </w:p>
  </w:endnote>
  <w:endnote w:type="continuationNotice" w:id="1">
    <w:p w14:paraId="0BDE0487" w14:textId="77777777" w:rsidR="002D35C6" w:rsidRDefault="002D3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F9CC" w14:textId="6492D67A" w:rsidR="00A33BC6" w:rsidRDefault="00A33BC6">
    <w:pPr>
      <w:pStyle w:val="Piedepgina"/>
    </w:pPr>
    <w:r>
      <w:fldChar w:fldCharType="begin"/>
    </w:r>
    <w:r>
      <w:instrText xml:space="preserve"> PAGE </w:instrText>
    </w:r>
    <w:r>
      <w:fldChar w:fldCharType="separate"/>
    </w:r>
    <w:r w:rsidR="0039391E">
      <w:rPr>
        <w:noProof/>
      </w:rPr>
      <w:t>3</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A1FE" w14:textId="77777777" w:rsidR="002D35C6" w:rsidRDefault="002D35C6">
      <w:r>
        <w:separator/>
      </w:r>
    </w:p>
  </w:footnote>
  <w:footnote w:type="continuationSeparator" w:id="0">
    <w:p w14:paraId="17DF6055" w14:textId="77777777" w:rsidR="002D35C6" w:rsidRDefault="002D35C6">
      <w:r>
        <w:continuationSeparator/>
      </w:r>
    </w:p>
  </w:footnote>
  <w:footnote w:type="continuationNotice" w:id="1">
    <w:p w14:paraId="0387F5BC" w14:textId="77777777" w:rsidR="002D35C6" w:rsidRDefault="002D35C6"/>
  </w:footnote>
  <w:footnote w:id="2">
    <w:p w14:paraId="78472E2A" w14:textId="5CB942FD" w:rsidR="009B4105" w:rsidRDefault="009B4105">
      <w:pPr>
        <w:pStyle w:val="Textonotapie"/>
      </w:pPr>
      <w:r>
        <w:rPr>
          <w:rStyle w:val="Refdenotaalpie"/>
        </w:rPr>
        <w:footnoteRef/>
      </w:r>
      <w:r>
        <w:t xml:space="preserve"> </w:t>
      </w:r>
      <w:r>
        <w:rPr>
          <w:rFonts w:ascii="Arial" w:hAnsi="Arial" w:cs="Arial"/>
          <w:color w:val="000000"/>
          <w:sz w:val="16"/>
          <w:szCs w:val="16"/>
        </w:rPr>
        <w:t>See “Terminology” and “Non-GAAP Financial Measures” below for additional information about Adjusted Net Income.</w:t>
      </w:r>
    </w:p>
  </w:footnote>
  <w:footnote w:id="3">
    <w:p w14:paraId="5C52D508" w14:textId="1BD30C56" w:rsidR="005732AA" w:rsidRPr="00EC5744" w:rsidRDefault="005732AA">
      <w:pPr>
        <w:pStyle w:val="Textonotapie"/>
        <w:rPr>
          <w:rFonts w:ascii="Arial" w:hAnsi="Arial" w:cs="Arial"/>
        </w:rPr>
      </w:pPr>
      <w:r w:rsidRPr="00EC5744">
        <w:rPr>
          <w:rStyle w:val="Refdenotaalpie"/>
          <w:rFonts w:ascii="Arial" w:hAnsi="Arial" w:cs="Arial"/>
        </w:rPr>
        <w:footnoteRef/>
      </w:r>
      <w:r w:rsidRPr="00EC5744">
        <w:rPr>
          <w:rFonts w:ascii="Arial" w:hAnsi="Arial" w:cs="Arial"/>
        </w:rPr>
        <w:t xml:space="preserve"> Actual number of shares issued upon settlement may differ</w:t>
      </w:r>
      <w:r w:rsidR="00EC5744" w:rsidRPr="00EC574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DE22" w14:textId="77777777" w:rsidR="00455FA4" w:rsidRDefault="00455F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9D2C" w14:textId="77777777" w:rsidR="00A33BC6" w:rsidRDefault="00A33BC6">
    <w:pPr>
      <w:pStyle w:val="Encabezado"/>
    </w:pPr>
    <w:r>
      <w:rPr>
        <w:b/>
        <w:bCs/>
        <w:noProof/>
        <w:sz w:val="20"/>
        <w:szCs w:val="20"/>
        <w:lang w:val="es-ES" w:eastAsia="es-ES"/>
      </w:rPr>
      <w:drawing>
        <wp:inline distT="0" distB="0" distL="0" distR="0" wp14:anchorId="18CC7DF4" wp14:editId="7808A71E">
          <wp:extent cx="5822900" cy="1462183"/>
          <wp:effectExtent l="0" t="0" r="0" b="0"/>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32116 NCLH New Press Release Header.jpeg"/>
                  <pic:cNvPicPr>
                    <a:picLocks noChangeAspect="1"/>
                  </pic:cNvPicPr>
                </pic:nvPicPr>
                <pic:blipFill>
                  <a:blip r:embed="rId1"/>
                  <a:stretch>
                    <a:fillRect/>
                  </a:stretch>
                </pic:blipFill>
                <pic:spPr>
                  <a:xfrm>
                    <a:off x="0" y="0"/>
                    <a:ext cx="5822900" cy="146218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FABAF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FB2367"/>
    <w:multiLevelType w:val="hybridMultilevel"/>
    <w:tmpl w:val="AC12E17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02454125"/>
    <w:multiLevelType w:val="hybridMultilevel"/>
    <w:tmpl w:val="E23EDFD4"/>
    <w:styleLink w:val="ImportedStyle2"/>
    <w:lvl w:ilvl="0" w:tplc="616E4FE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EED0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2442E4">
      <w:start w:val="1"/>
      <w:numFmt w:val="lowerRoman"/>
      <w:lvlText w:val="%3."/>
      <w:lvlJc w:val="left"/>
      <w:pPr>
        <w:ind w:left="21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0245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A746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8CDDB0">
      <w:start w:val="1"/>
      <w:numFmt w:val="lowerRoman"/>
      <w:lvlText w:val="%6."/>
      <w:lvlJc w:val="left"/>
      <w:pPr>
        <w:ind w:left="432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8ED3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3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BDC">
      <w:start w:val="1"/>
      <w:numFmt w:val="lowerRoman"/>
      <w:lvlText w:val="%9."/>
      <w:lvlJc w:val="left"/>
      <w:pPr>
        <w:ind w:left="648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0314E3"/>
    <w:multiLevelType w:val="hybridMultilevel"/>
    <w:tmpl w:val="FBE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C2280"/>
    <w:multiLevelType w:val="hybridMultilevel"/>
    <w:tmpl w:val="756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A567E"/>
    <w:multiLevelType w:val="hybridMultilevel"/>
    <w:tmpl w:val="8AF6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B50A6"/>
    <w:multiLevelType w:val="hybridMultilevel"/>
    <w:tmpl w:val="6660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D33C2"/>
    <w:multiLevelType w:val="hybridMultilevel"/>
    <w:tmpl w:val="E23EDFD4"/>
    <w:lvl w:ilvl="0" w:tplc="378091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AEAE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45AAC">
      <w:start w:val="1"/>
      <w:numFmt w:val="lowerRoman"/>
      <w:lvlText w:val="%3."/>
      <w:lvlJc w:val="left"/>
      <w:pPr>
        <w:ind w:left="21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0CE2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B052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AE994">
      <w:start w:val="1"/>
      <w:numFmt w:val="lowerRoman"/>
      <w:lvlText w:val="%6."/>
      <w:lvlJc w:val="left"/>
      <w:pPr>
        <w:ind w:left="432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AF3C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691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CCD02">
      <w:start w:val="1"/>
      <w:numFmt w:val="lowerRoman"/>
      <w:lvlText w:val="%9."/>
      <w:lvlJc w:val="left"/>
      <w:pPr>
        <w:ind w:left="648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F2184E"/>
    <w:multiLevelType w:val="hybridMultilevel"/>
    <w:tmpl w:val="80D4E6F4"/>
    <w:lvl w:ilvl="0" w:tplc="4106DB44">
      <w:numFmt w:val="bullet"/>
      <w:lvlText w:val="-"/>
      <w:lvlJc w:val="left"/>
      <w:pPr>
        <w:ind w:left="430" w:hanging="360"/>
      </w:pPr>
      <w:rPr>
        <w:rFonts w:ascii="Arial Unicode MS" w:eastAsia="Arial Unicode MS" w:hAnsi="Arial Unicode MS" w:cs="Arial Unicode MS" w:hint="eastAsia"/>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9" w15:restartNumberingAfterBreak="0">
    <w:nsid w:val="1A322880"/>
    <w:multiLevelType w:val="hybridMultilevel"/>
    <w:tmpl w:val="4064B8EA"/>
    <w:numStyleLink w:val="ImportedStyle1"/>
  </w:abstractNum>
  <w:abstractNum w:abstractNumId="10" w15:restartNumberingAfterBreak="0">
    <w:nsid w:val="1AA31514"/>
    <w:multiLevelType w:val="hybridMultilevel"/>
    <w:tmpl w:val="C71E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B53AA"/>
    <w:multiLevelType w:val="hybridMultilevel"/>
    <w:tmpl w:val="BDE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17BEB"/>
    <w:multiLevelType w:val="hybridMultilevel"/>
    <w:tmpl w:val="5268F9F4"/>
    <w:lvl w:ilvl="0" w:tplc="9606E00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6100E0"/>
    <w:multiLevelType w:val="hybridMultilevel"/>
    <w:tmpl w:val="645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D501C"/>
    <w:multiLevelType w:val="hybridMultilevel"/>
    <w:tmpl w:val="3246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45CDE"/>
    <w:multiLevelType w:val="hybridMultilevel"/>
    <w:tmpl w:val="089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4589F"/>
    <w:multiLevelType w:val="hybridMultilevel"/>
    <w:tmpl w:val="301E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D1F97"/>
    <w:multiLevelType w:val="hybridMultilevel"/>
    <w:tmpl w:val="6292117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1223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D647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504C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4CA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6E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469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542B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686D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A2B3EC6"/>
    <w:multiLevelType w:val="hybridMultilevel"/>
    <w:tmpl w:val="0A9A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96AEC"/>
    <w:multiLevelType w:val="hybridMultilevel"/>
    <w:tmpl w:val="80EE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00A25"/>
    <w:multiLevelType w:val="hybridMultilevel"/>
    <w:tmpl w:val="9B243314"/>
    <w:lvl w:ilvl="0" w:tplc="D0DC3520">
      <w:numFmt w:val="bullet"/>
      <w:lvlText w:val="-"/>
      <w:lvlJc w:val="left"/>
      <w:pPr>
        <w:ind w:left="413" w:hanging="360"/>
      </w:pPr>
      <w:rPr>
        <w:rFonts w:ascii="Arial" w:eastAsia="Arial" w:hAnsi="Arial" w:cs="Arial" w:hint="default"/>
      </w:rPr>
    </w:lvl>
    <w:lvl w:ilvl="1" w:tplc="04090003">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21" w15:restartNumberingAfterBreak="0">
    <w:nsid w:val="49ED48F6"/>
    <w:multiLevelType w:val="hybridMultilevel"/>
    <w:tmpl w:val="931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9562A"/>
    <w:multiLevelType w:val="hybridMultilevel"/>
    <w:tmpl w:val="E23EDFD4"/>
    <w:numStyleLink w:val="ImportedStyle2"/>
  </w:abstractNum>
  <w:abstractNum w:abstractNumId="23" w15:restartNumberingAfterBreak="0">
    <w:nsid w:val="4E8D4EAB"/>
    <w:multiLevelType w:val="hybridMultilevel"/>
    <w:tmpl w:val="986E3DE6"/>
    <w:lvl w:ilvl="0" w:tplc="04090001">
      <w:start w:val="1"/>
      <w:numFmt w:val="bullet"/>
      <w:lvlText w:val=""/>
      <w:lvlJc w:val="left"/>
      <w:pPr>
        <w:ind w:left="720" w:hanging="360"/>
      </w:pPr>
      <w:rPr>
        <w:rFonts w:ascii="Symbol" w:hAnsi="Symbol" w:hint="default"/>
      </w:rPr>
    </w:lvl>
    <w:lvl w:ilvl="1" w:tplc="BD4C9114">
      <w:numFmt w:val="bullet"/>
      <w:lvlText w:val="-"/>
      <w:lvlJc w:val="left"/>
      <w:pPr>
        <w:ind w:left="1440" w:hanging="360"/>
      </w:pPr>
      <w:rPr>
        <w:rFonts w:ascii="Calibri" w:eastAsiaTheme="minorHAnsi" w:hAnsi="Calibri" w:cstheme="minorBidi"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D162F"/>
    <w:multiLevelType w:val="hybridMultilevel"/>
    <w:tmpl w:val="5352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6753E"/>
    <w:multiLevelType w:val="hybridMultilevel"/>
    <w:tmpl w:val="4064B8EA"/>
    <w:styleLink w:val="ImportedStyle1"/>
    <w:lvl w:ilvl="0" w:tplc="61E61E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66F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D8FD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488B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1664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C35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C0A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AAEE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EDE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C93C92"/>
    <w:multiLevelType w:val="hybridMultilevel"/>
    <w:tmpl w:val="6374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63898"/>
    <w:multiLevelType w:val="hybridMultilevel"/>
    <w:tmpl w:val="D680678E"/>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1223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D647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504C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4CAC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6E4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4697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542B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686D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265392"/>
    <w:multiLevelType w:val="hybridMultilevel"/>
    <w:tmpl w:val="6F3C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21CE4"/>
    <w:multiLevelType w:val="multilevel"/>
    <w:tmpl w:val="2FE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B34735"/>
    <w:multiLevelType w:val="hybridMultilevel"/>
    <w:tmpl w:val="F78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C62C6"/>
    <w:multiLevelType w:val="multilevel"/>
    <w:tmpl w:val="0802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0485D"/>
    <w:multiLevelType w:val="hybridMultilevel"/>
    <w:tmpl w:val="FF5C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D3869"/>
    <w:multiLevelType w:val="hybridMultilevel"/>
    <w:tmpl w:val="9AC6211E"/>
    <w:lvl w:ilvl="0" w:tplc="D8363772">
      <w:start w:val="1"/>
      <w:numFmt w:val="decimal"/>
      <w:lvlText w:val="(%1)"/>
      <w:lvlJc w:val="left"/>
      <w:pPr>
        <w:ind w:left="360" w:hanging="360"/>
      </w:pPr>
      <w:rPr>
        <w:rFonts w:ascii="Arial" w:hAnsi="Arial" w:cs="Arial"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0B21EF"/>
    <w:multiLevelType w:val="hybridMultilevel"/>
    <w:tmpl w:val="DC12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260A6F"/>
    <w:multiLevelType w:val="hybridMultilevel"/>
    <w:tmpl w:val="E23EDFD4"/>
    <w:lvl w:ilvl="0" w:tplc="86A25FE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04081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A68CF8">
      <w:start w:val="1"/>
      <w:numFmt w:val="lowerRoman"/>
      <w:lvlText w:val="%3."/>
      <w:lvlJc w:val="left"/>
      <w:pPr>
        <w:ind w:left="21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CEF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CC27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D41DF0">
      <w:start w:val="1"/>
      <w:numFmt w:val="lowerRoman"/>
      <w:lvlText w:val="%6."/>
      <w:lvlJc w:val="left"/>
      <w:pPr>
        <w:ind w:left="432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48DE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C143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988A04">
      <w:start w:val="1"/>
      <w:numFmt w:val="lowerRoman"/>
      <w:lvlText w:val="%9."/>
      <w:lvlJc w:val="left"/>
      <w:pPr>
        <w:ind w:left="648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842478A"/>
    <w:multiLevelType w:val="hybridMultilevel"/>
    <w:tmpl w:val="5B78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C291C"/>
    <w:multiLevelType w:val="hybridMultilevel"/>
    <w:tmpl w:val="ADCA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
  </w:num>
  <w:num w:numId="4">
    <w:abstractNumId w:val="22"/>
  </w:num>
  <w:num w:numId="5">
    <w:abstractNumId w:val="27"/>
  </w:num>
  <w:num w:numId="6">
    <w:abstractNumId w:val="17"/>
  </w:num>
  <w:num w:numId="7">
    <w:abstractNumId w:val="6"/>
  </w:num>
  <w:num w:numId="8">
    <w:abstractNumId w:val="7"/>
  </w:num>
  <w:num w:numId="9">
    <w:abstractNumId w:val="20"/>
  </w:num>
  <w:num w:numId="10">
    <w:abstractNumId w:val="4"/>
  </w:num>
  <w:num w:numId="11">
    <w:abstractNumId w:val="35"/>
  </w:num>
  <w:num w:numId="12">
    <w:abstractNumId w:val="6"/>
  </w:num>
  <w:num w:numId="13">
    <w:abstractNumId w:val="30"/>
  </w:num>
  <w:num w:numId="14">
    <w:abstractNumId w:val="3"/>
  </w:num>
  <w:num w:numId="15">
    <w:abstractNumId w:val="32"/>
  </w:num>
  <w:num w:numId="16">
    <w:abstractNumId w:val="14"/>
  </w:num>
  <w:num w:numId="17">
    <w:abstractNumId w:val="18"/>
  </w:num>
  <w:num w:numId="18">
    <w:abstractNumId w:val="5"/>
  </w:num>
  <w:num w:numId="19">
    <w:abstractNumId w:val="23"/>
  </w:num>
  <w:num w:numId="20">
    <w:abstractNumId w:val="24"/>
  </w:num>
  <w:num w:numId="21">
    <w:abstractNumId w:val="36"/>
  </w:num>
  <w:num w:numId="22">
    <w:abstractNumId w:val="13"/>
  </w:num>
  <w:num w:numId="23">
    <w:abstractNumId w:val="11"/>
  </w:num>
  <w:num w:numId="24">
    <w:abstractNumId w:val="19"/>
  </w:num>
  <w:num w:numId="25">
    <w:abstractNumId w:val="28"/>
  </w:num>
  <w:num w:numId="26">
    <w:abstractNumId w:val="12"/>
  </w:num>
  <w:num w:numId="27">
    <w:abstractNumId w:val="31"/>
  </w:num>
  <w:num w:numId="28">
    <w:abstractNumId w:val="29"/>
  </w:num>
  <w:num w:numId="29">
    <w:abstractNumId w:val="37"/>
  </w:num>
  <w:num w:numId="30">
    <w:abstractNumId w:val="10"/>
  </w:num>
  <w:num w:numId="31">
    <w:abstractNumId w:val="28"/>
  </w:num>
  <w:num w:numId="32">
    <w:abstractNumId w:val="21"/>
  </w:num>
  <w:num w:numId="33">
    <w:abstractNumId w:val="34"/>
  </w:num>
  <w:num w:numId="34">
    <w:abstractNumId w:val="0"/>
  </w:num>
  <w:num w:numId="35">
    <w:abstractNumId w:val="0"/>
  </w:num>
  <w:num w:numId="36">
    <w:abstractNumId w:val="16"/>
  </w:num>
  <w:num w:numId="37">
    <w:abstractNumId w:val="15"/>
  </w:num>
  <w:num w:numId="38">
    <w:abstractNumId w:val="1"/>
  </w:num>
  <w:num w:numId="39">
    <w:abstractNumId w:val="2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true"/>
    <w:docVar w:name="APWAFVersion" w:val="5.0"/>
  </w:docVars>
  <w:rsids>
    <w:rsidRoot w:val="00283D42"/>
    <w:rsid w:val="00000137"/>
    <w:rsid w:val="000005C2"/>
    <w:rsid w:val="000008E2"/>
    <w:rsid w:val="000016F8"/>
    <w:rsid w:val="0000196A"/>
    <w:rsid w:val="00001B2B"/>
    <w:rsid w:val="000026EA"/>
    <w:rsid w:val="00002B45"/>
    <w:rsid w:val="00003646"/>
    <w:rsid w:val="00003D7E"/>
    <w:rsid w:val="0000402D"/>
    <w:rsid w:val="000041B0"/>
    <w:rsid w:val="00004F90"/>
    <w:rsid w:val="00005819"/>
    <w:rsid w:val="00005C9E"/>
    <w:rsid w:val="000064DF"/>
    <w:rsid w:val="0000735C"/>
    <w:rsid w:val="0000763E"/>
    <w:rsid w:val="00007BCF"/>
    <w:rsid w:val="00007DB3"/>
    <w:rsid w:val="00007DE2"/>
    <w:rsid w:val="00010369"/>
    <w:rsid w:val="00011987"/>
    <w:rsid w:val="00014C18"/>
    <w:rsid w:val="00014D93"/>
    <w:rsid w:val="00015186"/>
    <w:rsid w:val="000151F1"/>
    <w:rsid w:val="0001531D"/>
    <w:rsid w:val="0001536D"/>
    <w:rsid w:val="0001643F"/>
    <w:rsid w:val="00016522"/>
    <w:rsid w:val="000166C5"/>
    <w:rsid w:val="000167DE"/>
    <w:rsid w:val="000169E5"/>
    <w:rsid w:val="000170A4"/>
    <w:rsid w:val="00017646"/>
    <w:rsid w:val="00017F94"/>
    <w:rsid w:val="000206D6"/>
    <w:rsid w:val="00020B1E"/>
    <w:rsid w:val="000211ED"/>
    <w:rsid w:val="00021223"/>
    <w:rsid w:val="00021DA2"/>
    <w:rsid w:val="00022297"/>
    <w:rsid w:val="00022A11"/>
    <w:rsid w:val="000239A0"/>
    <w:rsid w:val="00024B40"/>
    <w:rsid w:val="00025162"/>
    <w:rsid w:val="000255D8"/>
    <w:rsid w:val="000256B3"/>
    <w:rsid w:val="000263F7"/>
    <w:rsid w:val="0002656B"/>
    <w:rsid w:val="00026B7C"/>
    <w:rsid w:val="00026C99"/>
    <w:rsid w:val="00027F90"/>
    <w:rsid w:val="000307D3"/>
    <w:rsid w:val="000308D0"/>
    <w:rsid w:val="00030AC4"/>
    <w:rsid w:val="000318C1"/>
    <w:rsid w:val="00031E2E"/>
    <w:rsid w:val="00031F96"/>
    <w:rsid w:val="000322ED"/>
    <w:rsid w:val="000324B0"/>
    <w:rsid w:val="00032E29"/>
    <w:rsid w:val="000346BF"/>
    <w:rsid w:val="00034A6F"/>
    <w:rsid w:val="00034CC5"/>
    <w:rsid w:val="000358DF"/>
    <w:rsid w:val="00035EF0"/>
    <w:rsid w:val="00036052"/>
    <w:rsid w:val="000366A6"/>
    <w:rsid w:val="0003723F"/>
    <w:rsid w:val="00037F98"/>
    <w:rsid w:val="00040AA2"/>
    <w:rsid w:val="00041031"/>
    <w:rsid w:val="00041533"/>
    <w:rsid w:val="000430DF"/>
    <w:rsid w:val="00044754"/>
    <w:rsid w:val="00045926"/>
    <w:rsid w:val="00045AFD"/>
    <w:rsid w:val="00045DFE"/>
    <w:rsid w:val="00045F0C"/>
    <w:rsid w:val="00046378"/>
    <w:rsid w:val="000466BC"/>
    <w:rsid w:val="000467C8"/>
    <w:rsid w:val="00046C83"/>
    <w:rsid w:val="0004713A"/>
    <w:rsid w:val="000475CB"/>
    <w:rsid w:val="00047ECA"/>
    <w:rsid w:val="000507CB"/>
    <w:rsid w:val="0005170F"/>
    <w:rsid w:val="000517E1"/>
    <w:rsid w:val="00051A04"/>
    <w:rsid w:val="00051C59"/>
    <w:rsid w:val="00051C7E"/>
    <w:rsid w:val="000525D2"/>
    <w:rsid w:val="00053BDE"/>
    <w:rsid w:val="0005492C"/>
    <w:rsid w:val="00055170"/>
    <w:rsid w:val="0005656F"/>
    <w:rsid w:val="00056CFB"/>
    <w:rsid w:val="000571B4"/>
    <w:rsid w:val="000602F0"/>
    <w:rsid w:val="000607FA"/>
    <w:rsid w:val="00060A33"/>
    <w:rsid w:val="00060B21"/>
    <w:rsid w:val="00060F89"/>
    <w:rsid w:val="0006185E"/>
    <w:rsid w:val="00061AF0"/>
    <w:rsid w:val="00061F4E"/>
    <w:rsid w:val="00062441"/>
    <w:rsid w:val="0006297C"/>
    <w:rsid w:val="00063CDC"/>
    <w:rsid w:val="00064B01"/>
    <w:rsid w:val="00064E7C"/>
    <w:rsid w:val="00065AAF"/>
    <w:rsid w:val="00065B54"/>
    <w:rsid w:val="00067B40"/>
    <w:rsid w:val="000705F0"/>
    <w:rsid w:val="0007268B"/>
    <w:rsid w:val="00072DDD"/>
    <w:rsid w:val="0007303C"/>
    <w:rsid w:val="00073C17"/>
    <w:rsid w:val="00073C35"/>
    <w:rsid w:val="00073E6C"/>
    <w:rsid w:val="00074315"/>
    <w:rsid w:val="00074487"/>
    <w:rsid w:val="000744CF"/>
    <w:rsid w:val="00075EB9"/>
    <w:rsid w:val="00076CA6"/>
    <w:rsid w:val="00076D95"/>
    <w:rsid w:val="000774BA"/>
    <w:rsid w:val="00080269"/>
    <w:rsid w:val="00080676"/>
    <w:rsid w:val="000811F1"/>
    <w:rsid w:val="00081D00"/>
    <w:rsid w:val="0008230D"/>
    <w:rsid w:val="00082476"/>
    <w:rsid w:val="00082982"/>
    <w:rsid w:val="00082EC9"/>
    <w:rsid w:val="0008351E"/>
    <w:rsid w:val="000836B1"/>
    <w:rsid w:val="000846FE"/>
    <w:rsid w:val="00084905"/>
    <w:rsid w:val="00085EE6"/>
    <w:rsid w:val="000868F7"/>
    <w:rsid w:val="00086CEC"/>
    <w:rsid w:val="0009195F"/>
    <w:rsid w:val="00091D07"/>
    <w:rsid w:val="000932A6"/>
    <w:rsid w:val="000934E0"/>
    <w:rsid w:val="00094DD6"/>
    <w:rsid w:val="0009568A"/>
    <w:rsid w:val="00095B64"/>
    <w:rsid w:val="00096DE3"/>
    <w:rsid w:val="000A003B"/>
    <w:rsid w:val="000A0E7F"/>
    <w:rsid w:val="000A163E"/>
    <w:rsid w:val="000A20AB"/>
    <w:rsid w:val="000A21B2"/>
    <w:rsid w:val="000A3252"/>
    <w:rsid w:val="000A3BC2"/>
    <w:rsid w:val="000A4797"/>
    <w:rsid w:val="000A4872"/>
    <w:rsid w:val="000A58ED"/>
    <w:rsid w:val="000A69B8"/>
    <w:rsid w:val="000A6A00"/>
    <w:rsid w:val="000A6B6A"/>
    <w:rsid w:val="000A7168"/>
    <w:rsid w:val="000A7E37"/>
    <w:rsid w:val="000B05D9"/>
    <w:rsid w:val="000B0E56"/>
    <w:rsid w:val="000B1644"/>
    <w:rsid w:val="000B18B7"/>
    <w:rsid w:val="000B1F7D"/>
    <w:rsid w:val="000B1FDB"/>
    <w:rsid w:val="000B553F"/>
    <w:rsid w:val="000B60FE"/>
    <w:rsid w:val="000B6D18"/>
    <w:rsid w:val="000B7AB5"/>
    <w:rsid w:val="000C067D"/>
    <w:rsid w:val="000C0823"/>
    <w:rsid w:val="000C09AF"/>
    <w:rsid w:val="000C143E"/>
    <w:rsid w:val="000C1F51"/>
    <w:rsid w:val="000C212E"/>
    <w:rsid w:val="000C23AE"/>
    <w:rsid w:val="000C23C8"/>
    <w:rsid w:val="000C2737"/>
    <w:rsid w:val="000C300A"/>
    <w:rsid w:val="000C35D2"/>
    <w:rsid w:val="000C4378"/>
    <w:rsid w:val="000C4B36"/>
    <w:rsid w:val="000C5278"/>
    <w:rsid w:val="000C5317"/>
    <w:rsid w:val="000C601D"/>
    <w:rsid w:val="000C652E"/>
    <w:rsid w:val="000C697D"/>
    <w:rsid w:val="000C6C9B"/>
    <w:rsid w:val="000C6CF1"/>
    <w:rsid w:val="000C78B5"/>
    <w:rsid w:val="000D0302"/>
    <w:rsid w:val="000D13F3"/>
    <w:rsid w:val="000D20DD"/>
    <w:rsid w:val="000D2C6A"/>
    <w:rsid w:val="000D41A4"/>
    <w:rsid w:val="000D430C"/>
    <w:rsid w:val="000D48E1"/>
    <w:rsid w:val="000D4AAA"/>
    <w:rsid w:val="000D4F7A"/>
    <w:rsid w:val="000D5202"/>
    <w:rsid w:val="000D6358"/>
    <w:rsid w:val="000D6CA6"/>
    <w:rsid w:val="000D7565"/>
    <w:rsid w:val="000D7FFB"/>
    <w:rsid w:val="000E17E5"/>
    <w:rsid w:val="000E2657"/>
    <w:rsid w:val="000E27EC"/>
    <w:rsid w:val="000E3029"/>
    <w:rsid w:val="000E36C0"/>
    <w:rsid w:val="000E3800"/>
    <w:rsid w:val="000E3991"/>
    <w:rsid w:val="000E475F"/>
    <w:rsid w:val="000E511C"/>
    <w:rsid w:val="000E5405"/>
    <w:rsid w:val="000E65D6"/>
    <w:rsid w:val="000E6609"/>
    <w:rsid w:val="000E6A78"/>
    <w:rsid w:val="000E74C0"/>
    <w:rsid w:val="000F0231"/>
    <w:rsid w:val="000F0402"/>
    <w:rsid w:val="000F0DC1"/>
    <w:rsid w:val="000F1397"/>
    <w:rsid w:val="000F1B58"/>
    <w:rsid w:val="000F1F04"/>
    <w:rsid w:val="000F2F33"/>
    <w:rsid w:val="000F338A"/>
    <w:rsid w:val="000F3462"/>
    <w:rsid w:val="000F5DDB"/>
    <w:rsid w:val="000F64E3"/>
    <w:rsid w:val="000F6DEE"/>
    <w:rsid w:val="000F77CF"/>
    <w:rsid w:val="000F7934"/>
    <w:rsid w:val="0010000D"/>
    <w:rsid w:val="00101AC5"/>
    <w:rsid w:val="001024FB"/>
    <w:rsid w:val="00102A3D"/>
    <w:rsid w:val="00103AF5"/>
    <w:rsid w:val="00103BC2"/>
    <w:rsid w:val="0010496E"/>
    <w:rsid w:val="00105859"/>
    <w:rsid w:val="00105B24"/>
    <w:rsid w:val="00106A57"/>
    <w:rsid w:val="00106C3C"/>
    <w:rsid w:val="00106E6E"/>
    <w:rsid w:val="00107345"/>
    <w:rsid w:val="00107916"/>
    <w:rsid w:val="00111623"/>
    <w:rsid w:val="0011265E"/>
    <w:rsid w:val="00113740"/>
    <w:rsid w:val="0011395E"/>
    <w:rsid w:val="00113CE6"/>
    <w:rsid w:val="00114716"/>
    <w:rsid w:val="00115A18"/>
    <w:rsid w:val="00115B5D"/>
    <w:rsid w:val="00115C2C"/>
    <w:rsid w:val="00116E5C"/>
    <w:rsid w:val="00117423"/>
    <w:rsid w:val="00117793"/>
    <w:rsid w:val="00117A52"/>
    <w:rsid w:val="001203C1"/>
    <w:rsid w:val="00120991"/>
    <w:rsid w:val="001221BD"/>
    <w:rsid w:val="00122682"/>
    <w:rsid w:val="001226D2"/>
    <w:rsid w:val="00122891"/>
    <w:rsid w:val="00123195"/>
    <w:rsid w:val="001235AB"/>
    <w:rsid w:val="00123850"/>
    <w:rsid w:val="001238CC"/>
    <w:rsid w:val="001249C0"/>
    <w:rsid w:val="001258FE"/>
    <w:rsid w:val="00125AF4"/>
    <w:rsid w:val="00126E2B"/>
    <w:rsid w:val="00126E75"/>
    <w:rsid w:val="0012749F"/>
    <w:rsid w:val="00127944"/>
    <w:rsid w:val="00127B49"/>
    <w:rsid w:val="00127CB3"/>
    <w:rsid w:val="00127CCD"/>
    <w:rsid w:val="00130066"/>
    <w:rsid w:val="001305E3"/>
    <w:rsid w:val="0013107B"/>
    <w:rsid w:val="00131992"/>
    <w:rsid w:val="00133F69"/>
    <w:rsid w:val="0013417C"/>
    <w:rsid w:val="001347AA"/>
    <w:rsid w:val="00134BF7"/>
    <w:rsid w:val="00134EBA"/>
    <w:rsid w:val="00135998"/>
    <w:rsid w:val="00136842"/>
    <w:rsid w:val="00136C0B"/>
    <w:rsid w:val="00140912"/>
    <w:rsid w:val="0014101F"/>
    <w:rsid w:val="00141132"/>
    <w:rsid w:val="0014189A"/>
    <w:rsid w:val="00142921"/>
    <w:rsid w:val="00143204"/>
    <w:rsid w:val="00143D87"/>
    <w:rsid w:val="00143DAC"/>
    <w:rsid w:val="00143E76"/>
    <w:rsid w:val="00144644"/>
    <w:rsid w:val="0014482F"/>
    <w:rsid w:val="00145286"/>
    <w:rsid w:val="00145B98"/>
    <w:rsid w:val="00146D2E"/>
    <w:rsid w:val="001501D2"/>
    <w:rsid w:val="001501E0"/>
    <w:rsid w:val="00150DE4"/>
    <w:rsid w:val="00151502"/>
    <w:rsid w:val="0015316A"/>
    <w:rsid w:val="001546B1"/>
    <w:rsid w:val="001546F5"/>
    <w:rsid w:val="00154836"/>
    <w:rsid w:val="001565EE"/>
    <w:rsid w:val="00156AF0"/>
    <w:rsid w:val="0015738E"/>
    <w:rsid w:val="0015750B"/>
    <w:rsid w:val="00157964"/>
    <w:rsid w:val="0015796F"/>
    <w:rsid w:val="0016055A"/>
    <w:rsid w:val="001611F9"/>
    <w:rsid w:val="001613AB"/>
    <w:rsid w:val="001617C7"/>
    <w:rsid w:val="00161E5C"/>
    <w:rsid w:val="001631C3"/>
    <w:rsid w:val="00163B82"/>
    <w:rsid w:val="00163BC9"/>
    <w:rsid w:val="00163FE8"/>
    <w:rsid w:val="001659BA"/>
    <w:rsid w:val="001666D1"/>
    <w:rsid w:val="00166A82"/>
    <w:rsid w:val="00166F7B"/>
    <w:rsid w:val="00167637"/>
    <w:rsid w:val="00167BDF"/>
    <w:rsid w:val="00170D44"/>
    <w:rsid w:val="00171352"/>
    <w:rsid w:val="00171B9E"/>
    <w:rsid w:val="0017260A"/>
    <w:rsid w:val="0017265A"/>
    <w:rsid w:val="001738C9"/>
    <w:rsid w:val="001746AC"/>
    <w:rsid w:val="00175339"/>
    <w:rsid w:val="00175C67"/>
    <w:rsid w:val="00175F68"/>
    <w:rsid w:val="00176443"/>
    <w:rsid w:val="00176E26"/>
    <w:rsid w:val="00176F59"/>
    <w:rsid w:val="00177879"/>
    <w:rsid w:val="00177FDF"/>
    <w:rsid w:val="001800AB"/>
    <w:rsid w:val="001803E5"/>
    <w:rsid w:val="001808C5"/>
    <w:rsid w:val="00181214"/>
    <w:rsid w:val="00181232"/>
    <w:rsid w:val="00181641"/>
    <w:rsid w:val="00181BB1"/>
    <w:rsid w:val="00182006"/>
    <w:rsid w:val="00182D8B"/>
    <w:rsid w:val="00183048"/>
    <w:rsid w:val="00183E2E"/>
    <w:rsid w:val="001840AB"/>
    <w:rsid w:val="0018435D"/>
    <w:rsid w:val="0018466D"/>
    <w:rsid w:val="00184734"/>
    <w:rsid w:val="00184D8E"/>
    <w:rsid w:val="001860BB"/>
    <w:rsid w:val="00186438"/>
    <w:rsid w:val="00186B7C"/>
    <w:rsid w:val="001873F4"/>
    <w:rsid w:val="0018743B"/>
    <w:rsid w:val="00187B00"/>
    <w:rsid w:val="00187D67"/>
    <w:rsid w:val="001901FA"/>
    <w:rsid w:val="00190561"/>
    <w:rsid w:val="00190787"/>
    <w:rsid w:val="00190821"/>
    <w:rsid w:val="00190F92"/>
    <w:rsid w:val="00190F94"/>
    <w:rsid w:val="001913DF"/>
    <w:rsid w:val="0019160F"/>
    <w:rsid w:val="00191A4D"/>
    <w:rsid w:val="00191BB8"/>
    <w:rsid w:val="00192153"/>
    <w:rsid w:val="00193173"/>
    <w:rsid w:val="001931BF"/>
    <w:rsid w:val="00193202"/>
    <w:rsid w:val="001935C1"/>
    <w:rsid w:val="00193CD0"/>
    <w:rsid w:val="001959CB"/>
    <w:rsid w:val="00195F81"/>
    <w:rsid w:val="00196153"/>
    <w:rsid w:val="00196415"/>
    <w:rsid w:val="00196E78"/>
    <w:rsid w:val="001974A8"/>
    <w:rsid w:val="00197CB5"/>
    <w:rsid w:val="001A0081"/>
    <w:rsid w:val="001A01CF"/>
    <w:rsid w:val="001A089B"/>
    <w:rsid w:val="001A09C1"/>
    <w:rsid w:val="001A0C00"/>
    <w:rsid w:val="001A10F2"/>
    <w:rsid w:val="001A14C3"/>
    <w:rsid w:val="001A1879"/>
    <w:rsid w:val="001A32DD"/>
    <w:rsid w:val="001A34C4"/>
    <w:rsid w:val="001A501E"/>
    <w:rsid w:val="001A5210"/>
    <w:rsid w:val="001A6143"/>
    <w:rsid w:val="001A61A8"/>
    <w:rsid w:val="001A6498"/>
    <w:rsid w:val="001A6664"/>
    <w:rsid w:val="001A69C2"/>
    <w:rsid w:val="001A6A4F"/>
    <w:rsid w:val="001A6E85"/>
    <w:rsid w:val="001A772B"/>
    <w:rsid w:val="001A7FF0"/>
    <w:rsid w:val="001B0BEE"/>
    <w:rsid w:val="001B0FB3"/>
    <w:rsid w:val="001B10EB"/>
    <w:rsid w:val="001B135D"/>
    <w:rsid w:val="001B1EAC"/>
    <w:rsid w:val="001B1FAF"/>
    <w:rsid w:val="001B2F2F"/>
    <w:rsid w:val="001B2FB8"/>
    <w:rsid w:val="001B3F0C"/>
    <w:rsid w:val="001B6413"/>
    <w:rsid w:val="001B705A"/>
    <w:rsid w:val="001B7232"/>
    <w:rsid w:val="001B7293"/>
    <w:rsid w:val="001C00BE"/>
    <w:rsid w:val="001C0485"/>
    <w:rsid w:val="001C09A2"/>
    <w:rsid w:val="001C0F2E"/>
    <w:rsid w:val="001C1D40"/>
    <w:rsid w:val="001C1FEB"/>
    <w:rsid w:val="001C2E78"/>
    <w:rsid w:val="001C3371"/>
    <w:rsid w:val="001C3E0C"/>
    <w:rsid w:val="001C40A7"/>
    <w:rsid w:val="001C522E"/>
    <w:rsid w:val="001C5296"/>
    <w:rsid w:val="001C606E"/>
    <w:rsid w:val="001C66C6"/>
    <w:rsid w:val="001C6BBC"/>
    <w:rsid w:val="001C6C19"/>
    <w:rsid w:val="001C6EC7"/>
    <w:rsid w:val="001C705E"/>
    <w:rsid w:val="001C7326"/>
    <w:rsid w:val="001C798B"/>
    <w:rsid w:val="001C7E11"/>
    <w:rsid w:val="001D0703"/>
    <w:rsid w:val="001D1186"/>
    <w:rsid w:val="001D1988"/>
    <w:rsid w:val="001D2435"/>
    <w:rsid w:val="001D2C23"/>
    <w:rsid w:val="001D2EF9"/>
    <w:rsid w:val="001D3709"/>
    <w:rsid w:val="001D3807"/>
    <w:rsid w:val="001D45B0"/>
    <w:rsid w:val="001D4A0D"/>
    <w:rsid w:val="001D5044"/>
    <w:rsid w:val="001D52FF"/>
    <w:rsid w:val="001D55C4"/>
    <w:rsid w:val="001D7D6C"/>
    <w:rsid w:val="001E0139"/>
    <w:rsid w:val="001E0467"/>
    <w:rsid w:val="001E0499"/>
    <w:rsid w:val="001E04CE"/>
    <w:rsid w:val="001E080D"/>
    <w:rsid w:val="001E0E4F"/>
    <w:rsid w:val="001E11D0"/>
    <w:rsid w:val="001E1437"/>
    <w:rsid w:val="001E1951"/>
    <w:rsid w:val="001E1FEB"/>
    <w:rsid w:val="001E2411"/>
    <w:rsid w:val="001E252B"/>
    <w:rsid w:val="001E2756"/>
    <w:rsid w:val="001E30CB"/>
    <w:rsid w:val="001E351E"/>
    <w:rsid w:val="001E3D13"/>
    <w:rsid w:val="001E4A2F"/>
    <w:rsid w:val="001E4E15"/>
    <w:rsid w:val="001E59D1"/>
    <w:rsid w:val="001E5A12"/>
    <w:rsid w:val="001E62C1"/>
    <w:rsid w:val="001E6641"/>
    <w:rsid w:val="001E66C5"/>
    <w:rsid w:val="001E6803"/>
    <w:rsid w:val="001E6827"/>
    <w:rsid w:val="001E7856"/>
    <w:rsid w:val="001F0760"/>
    <w:rsid w:val="001F10D2"/>
    <w:rsid w:val="001F140B"/>
    <w:rsid w:val="001F2987"/>
    <w:rsid w:val="001F3865"/>
    <w:rsid w:val="001F3CAF"/>
    <w:rsid w:val="001F3CB7"/>
    <w:rsid w:val="001F3E92"/>
    <w:rsid w:val="001F494C"/>
    <w:rsid w:val="001F49BF"/>
    <w:rsid w:val="001F5AA7"/>
    <w:rsid w:val="001F678C"/>
    <w:rsid w:val="001F6ABF"/>
    <w:rsid w:val="001F717B"/>
    <w:rsid w:val="001F7983"/>
    <w:rsid w:val="001F7ED3"/>
    <w:rsid w:val="001F7EE5"/>
    <w:rsid w:val="002002CF"/>
    <w:rsid w:val="0020039D"/>
    <w:rsid w:val="00200F47"/>
    <w:rsid w:val="0020114E"/>
    <w:rsid w:val="00201F89"/>
    <w:rsid w:val="002025A5"/>
    <w:rsid w:val="00203EDE"/>
    <w:rsid w:val="00207D76"/>
    <w:rsid w:val="00210D08"/>
    <w:rsid w:val="00210D35"/>
    <w:rsid w:val="00211A20"/>
    <w:rsid w:val="00212652"/>
    <w:rsid w:val="00213326"/>
    <w:rsid w:val="00213B54"/>
    <w:rsid w:val="002150A1"/>
    <w:rsid w:val="002155B6"/>
    <w:rsid w:val="00215CBB"/>
    <w:rsid w:val="0021694F"/>
    <w:rsid w:val="00216A11"/>
    <w:rsid w:val="00220118"/>
    <w:rsid w:val="002208BD"/>
    <w:rsid w:val="00220DDA"/>
    <w:rsid w:val="0022130E"/>
    <w:rsid w:val="00221703"/>
    <w:rsid w:val="002226BF"/>
    <w:rsid w:val="00222AE1"/>
    <w:rsid w:val="0022365D"/>
    <w:rsid w:val="00223791"/>
    <w:rsid w:val="002243ED"/>
    <w:rsid w:val="00225446"/>
    <w:rsid w:val="00225969"/>
    <w:rsid w:val="002263EE"/>
    <w:rsid w:val="002264F0"/>
    <w:rsid w:val="002267E2"/>
    <w:rsid w:val="00226B44"/>
    <w:rsid w:val="00226D44"/>
    <w:rsid w:val="00227752"/>
    <w:rsid w:val="00230308"/>
    <w:rsid w:val="0023046A"/>
    <w:rsid w:val="002315B3"/>
    <w:rsid w:val="002324BE"/>
    <w:rsid w:val="00232AF0"/>
    <w:rsid w:val="00232C15"/>
    <w:rsid w:val="00232CC6"/>
    <w:rsid w:val="00232F3E"/>
    <w:rsid w:val="002330D4"/>
    <w:rsid w:val="0023453F"/>
    <w:rsid w:val="0023483C"/>
    <w:rsid w:val="00234AE2"/>
    <w:rsid w:val="00235675"/>
    <w:rsid w:val="002356C5"/>
    <w:rsid w:val="002358DA"/>
    <w:rsid w:val="00235B40"/>
    <w:rsid w:val="0023606F"/>
    <w:rsid w:val="002362C7"/>
    <w:rsid w:val="00236828"/>
    <w:rsid w:val="002368BB"/>
    <w:rsid w:val="00237011"/>
    <w:rsid w:val="00237684"/>
    <w:rsid w:val="0023774F"/>
    <w:rsid w:val="00237CCA"/>
    <w:rsid w:val="00237D56"/>
    <w:rsid w:val="0024006B"/>
    <w:rsid w:val="002409F2"/>
    <w:rsid w:val="00240CB3"/>
    <w:rsid w:val="00241632"/>
    <w:rsid w:val="00241791"/>
    <w:rsid w:val="00241ECE"/>
    <w:rsid w:val="0024299C"/>
    <w:rsid w:val="00244F43"/>
    <w:rsid w:val="00245525"/>
    <w:rsid w:val="00245781"/>
    <w:rsid w:val="00246BD6"/>
    <w:rsid w:val="00247CF3"/>
    <w:rsid w:val="00250746"/>
    <w:rsid w:val="00250CAB"/>
    <w:rsid w:val="00250EDD"/>
    <w:rsid w:val="00251B8F"/>
    <w:rsid w:val="00251D4C"/>
    <w:rsid w:val="002520D2"/>
    <w:rsid w:val="00252EE7"/>
    <w:rsid w:val="0025344B"/>
    <w:rsid w:val="00253E69"/>
    <w:rsid w:val="002544F0"/>
    <w:rsid w:val="002549D8"/>
    <w:rsid w:val="00255727"/>
    <w:rsid w:val="002558F0"/>
    <w:rsid w:val="00256743"/>
    <w:rsid w:val="00256968"/>
    <w:rsid w:val="002571D0"/>
    <w:rsid w:val="00257753"/>
    <w:rsid w:val="0025785D"/>
    <w:rsid w:val="00257FEE"/>
    <w:rsid w:val="0026137D"/>
    <w:rsid w:val="002613A8"/>
    <w:rsid w:val="00261AAD"/>
    <w:rsid w:val="0026258A"/>
    <w:rsid w:val="00262FCF"/>
    <w:rsid w:val="002632A1"/>
    <w:rsid w:val="00263E48"/>
    <w:rsid w:val="002641B1"/>
    <w:rsid w:val="00264C45"/>
    <w:rsid w:val="00264CAF"/>
    <w:rsid w:val="002650C3"/>
    <w:rsid w:val="00265186"/>
    <w:rsid w:val="00265ABC"/>
    <w:rsid w:val="002663B5"/>
    <w:rsid w:val="00266E21"/>
    <w:rsid w:val="00266F0F"/>
    <w:rsid w:val="00267577"/>
    <w:rsid w:val="002675CF"/>
    <w:rsid w:val="00271118"/>
    <w:rsid w:val="00272F53"/>
    <w:rsid w:val="00273D39"/>
    <w:rsid w:val="00273E99"/>
    <w:rsid w:val="002749E5"/>
    <w:rsid w:val="00275317"/>
    <w:rsid w:val="00277446"/>
    <w:rsid w:val="00277C63"/>
    <w:rsid w:val="00280D28"/>
    <w:rsid w:val="002810BB"/>
    <w:rsid w:val="0028121A"/>
    <w:rsid w:val="002827AE"/>
    <w:rsid w:val="00283D42"/>
    <w:rsid w:val="00284228"/>
    <w:rsid w:val="002843B6"/>
    <w:rsid w:val="00285142"/>
    <w:rsid w:val="00285C5F"/>
    <w:rsid w:val="002900B6"/>
    <w:rsid w:val="00290763"/>
    <w:rsid w:val="00290CA3"/>
    <w:rsid w:val="00291499"/>
    <w:rsid w:val="00291A9F"/>
    <w:rsid w:val="00291FC0"/>
    <w:rsid w:val="002922E1"/>
    <w:rsid w:val="002933CB"/>
    <w:rsid w:val="002934E0"/>
    <w:rsid w:val="00294421"/>
    <w:rsid w:val="0029464C"/>
    <w:rsid w:val="0029536E"/>
    <w:rsid w:val="002953F8"/>
    <w:rsid w:val="00295B4C"/>
    <w:rsid w:val="00295BFF"/>
    <w:rsid w:val="0029695E"/>
    <w:rsid w:val="00296E41"/>
    <w:rsid w:val="00296E60"/>
    <w:rsid w:val="00296EA8"/>
    <w:rsid w:val="002A08C1"/>
    <w:rsid w:val="002A1DF2"/>
    <w:rsid w:val="002A1E19"/>
    <w:rsid w:val="002A2056"/>
    <w:rsid w:val="002A29C3"/>
    <w:rsid w:val="002A2DBD"/>
    <w:rsid w:val="002A3516"/>
    <w:rsid w:val="002A3DBA"/>
    <w:rsid w:val="002A4AE6"/>
    <w:rsid w:val="002A5857"/>
    <w:rsid w:val="002A587F"/>
    <w:rsid w:val="002A5BEC"/>
    <w:rsid w:val="002A64C8"/>
    <w:rsid w:val="002A6714"/>
    <w:rsid w:val="002A6E62"/>
    <w:rsid w:val="002A7019"/>
    <w:rsid w:val="002A7C1F"/>
    <w:rsid w:val="002A7E95"/>
    <w:rsid w:val="002B0BD3"/>
    <w:rsid w:val="002B1707"/>
    <w:rsid w:val="002B18E3"/>
    <w:rsid w:val="002B19A7"/>
    <w:rsid w:val="002B1B82"/>
    <w:rsid w:val="002B1C24"/>
    <w:rsid w:val="002B2886"/>
    <w:rsid w:val="002B4493"/>
    <w:rsid w:val="002B5321"/>
    <w:rsid w:val="002B578F"/>
    <w:rsid w:val="002B5F09"/>
    <w:rsid w:val="002B6046"/>
    <w:rsid w:val="002B6820"/>
    <w:rsid w:val="002B6B39"/>
    <w:rsid w:val="002B7BCC"/>
    <w:rsid w:val="002C0040"/>
    <w:rsid w:val="002C059F"/>
    <w:rsid w:val="002C06A2"/>
    <w:rsid w:val="002C09F0"/>
    <w:rsid w:val="002C18EB"/>
    <w:rsid w:val="002C2F6C"/>
    <w:rsid w:val="002C385F"/>
    <w:rsid w:val="002C4645"/>
    <w:rsid w:val="002C5F11"/>
    <w:rsid w:val="002C6EB7"/>
    <w:rsid w:val="002C793D"/>
    <w:rsid w:val="002C7A2F"/>
    <w:rsid w:val="002D0022"/>
    <w:rsid w:val="002D0949"/>
    <w:rsid w:val="002D1902"/>
    <w:rsid w:val="002D299A"/>
    <w:rsid w:val="002D3467"/>
    <w:rsid w:val="002D35C6"/>
    <w:rsid w:val="002D39BD"/>
    <w:rsid w:val="002D3FB2"/>
    <w:rsid w:val="002D453B"/>
    <w:rsid w:val="002D480D"/>
    <w:rsid w:val="002D5299"/>
    <w:rsid w:val="002D5BE1"/>
    <w:rsid w:val="002D677E"/>
    <w:rsid w:val="002D6B20"/>
    <w:rsid w:val="002D6BE3"/>
    <w:rsid w:val="002D6C75"/>
    <w:rsid w:val="002D7A35"/>
    <w:rsid w:val="002D7CE6"/>
    <w:rsid w:val="002E04A3"/>
    <w:rsid w:val="002E1259"/>
    <w:rsid w:val="002E1855"/>
    <w:rsid w:val="002E3512"/>
    <w:rsid w:val="002E3792"/>
    <w:rsid w:val="002E3B36"/>
    <w:rsid w:val="002E4510"/>
    <w:rsid w:val="002E7C22"/>
    <w:rsid w:val="002F1129"/>
    <w:rsid w:val="002F244B"/>
    <w:rsid w:val="002F33B8"/>
    <w:rsid w:val="002F36FE"/>
    <w:rsid w:val="002F38BB"/>
    <w:rsid w:val="002F427B"/>
    <w:rsid w:val="002F42AD"/>
    <w:rsid w:val="002F44F9"/>
    <w:rsid w:val="002F4A0B"/>
    <w:rsid w:val="002F4C71"/>
    <w:rsid w:val="002F51FD"/>
    <w:rsid w:val="002F5398"/>
    <w:rsid w:val="002F5507"/>
    <w:rsid w:val="002F562F"/>
    <w:rsid w:val="002F618C"/>
    <w:rsid w:val="002F6922"/>
    <w:rsid w:val="002F6F18"/>
    <w:rsid w:val="002F7FBB"/>
    <w:rsid w:val="0030191F"/>
    <w:rsid w:val="003021D3"/>
    <w:rsid w:val="00302F9E"/>
    <w:rsid w:val="0030362D"/>
    <w:rsid w:val="0030471D"/>
    <w:rsid w:val="00304A06"/>
    <w:rsid w:val="00305DB9"/>
    <w:rsid w:val="00305FFD"/>
    <w:rsid w:val="00306BAB"/>
    <w:rsid w:val="00306D1C"/>
    <w:rsid w:val="003070E4"/>
    <w:rsid w:val="003075AB"/>
    <w:rsid w:val="0030763C"/>
    <w:rsid w:val="00307C4C"/>
    <w:rsid w:val="00307EFB"/>
    <w:rsid w:val="00307FAE"/>
    <w:rsid w:val="0031023E"/>
    <w:rsid w:val="0031027E"/>
    <w:rsid w:val="003106B6"/>
    <w:rsid w:val="003115CD"/>
    <w:rsid w:val="00311B06"/>
    <w:rsid w:val="00312871"/>
    <w:rsid w:val="00312ABE"/>
    <w:rsid w:val="00312F66"/>
    <w:rsid w:val="00312FFF"/>
    <w:rsid w:val="0031381C"/>
    <w:rsid w:val="003138E9"/>
    <w:rsid w:val="00314F60"/>
    <w:rsid w:val="00315307"/>
    <w:rsid w:val="0031676E"/>
    <w:rsid w:val="00317463"/>
    <w:rsid w:val="00317612"/>
    <w:rsid w:val="00320DE4"/>
    <w:rsid w:val="0032116D"/>
    <w:rsid w:val="003228F2"/>
    <w:rsid w:val="00322E7F"/>
    <w:rsid w:val="003236C2"/>
    <w:rsid w:val="003239E0"/>
    <w:rsid w:val="00323DEE"/>
    <w:rsid w:val="003250F9"/>
    <w:rsid w:val="00325757"/>
    <w:rsid w:val="00325C47"/>
    <w:rsid w:val="003266D9"/>
    <w:rsid w:val="00327429"/>
    <w:rsid w:val="0032751D"/>
    <w:rsid w:val="00327527"/>
    <w:rsid w:val="003304F8"/>
    <w:rsid w:val="00330DA7"/>
    <w:rsid w:val="00330EE8"/>
    <w:rsid w:val="0033113F"/>
    <w:rsid w:val="00331559"/>
    <w:rsid w:val="0033403B"/>
    <w:rsid w:val="003345C4"/>
    <w:rsid w:val="003351EA"/>
    <w:rsid w:val="003360BD"/>
    <w:rsid w:val="00336BBF"/>
    <w:rsid w:val="00336CBE"/>
    <w:rsid w:val="00337BFD"/>
    <w:rsid w:val="00337CBF"/>
    <w:rsid w:val="00337F9B"/>
    <w:rsid w:val="00341D47"/>
    <w:rsid w:val="00343144"/>
    <w:rsid w:val="003431C8"/>
    <w:rsid w:val="00343371"/>
    <w:rsid w:val="003437DC"/>
    <w:rsid w:val="0034397B"/>
    <w:rsid w:val="003442F0"/>
    <w:rsid w:val="003445F2"/>
    <w:rsid w:val="00344754"/>
    <w:rsid w:val="00344B23"/>
    <w:rsid w:val="00344DE1"/>
    <w:rsid w:val="00345159"/>
    <w:rsid w:val="003451FE"/>
    <w:rsid w:val="00345446"/>
    <w:rsid w:val="00345BEB"/>
    <w:rsid w:val="00347342"/>
    <w:rsid w:val="00350958"/>
    <w:rsid w:val="003514D8"/>
    <w:rsid w:val="003516CA"/>
    <w:rsid w:val="00351731"/>
    <w:rsid w:val="0035280C"/>
    <w:rsid w:val="00353040"/>
    <w:rsid w:val="00353242"/>
    <w:rsid w:val="00354933"/>
    <w:rsid w:val="00354BD4"/>
    <w:rsid w:val="00354E00"/>
    <w:rsid w:val="003553E5"/>
    <w:rsid w:val="003555A7"/>
    <w:rsid w:val="00355CBB"/>
    <w:rsid w:val="003566F4"/>
    <w:rsid w:val="00357527"/>
    <w:rsid w:val="00360051"/>
    <w:rsid w:val="00360182"/>
    <w:rsid w:val="003602DC"/>
    <w:rsid w:val="00360795"/>
    <w:rsid w:val="003611B9"/>
    <w:rsid w:val="00361C0E"/>
    <w:rsid w:val="003621D4"/>
    <w:rsid w:val="0036306F"/>
    <w:rsid w:val="00364967"/>
    <w:rsid w:val="00365922"/>
    <w:rsid w:val="003659B8"/>
    <w:rsid w:val="00365C0E"/>
    <w:rsid w:val="00366014"/>
    <w:rsid w:val="00366E12"/>
    <w:rsid w:val="00367109"/>
    <w:rsid w:val="0036739B"/>
    <w:rsid w:val="00367B10"/>
    <w:rsid w:val="00370B62"/>
    <w:rsid w:val="00370E5B"/>
    <w:rsid w:val="00371F97"/>
    <w:rsid w:val="0037218A"/>
    <w:rsid w:val="00372481"/>
    <w:rsid w:val="00372B86"/>
    <w:rsid w:val="003732B4"/>
    <w:rsid w:val="0037425F"/>
    <w:rsid w:val="00374513"/>
    <w:rsid w:val="00374C16"/>
    <w:rsid w:val="00375E69"/>
    <w:rsid w:val="0037693F"/>
    <w:rsid w:val="0037699C"/>
    <w:rsid w:val="003769DF"/>
    <w:rsid w:val="00376F47"/>
    <w:rsid w:val="00377761"/>
    <w:rsid w:val="00377ADF"/>
    <w:rsid w:val="00380F63"/>
    <w:rsid w:val="003810E3"/>
    <w:rsid w:val="003818FA"/>
    <w:rsid w:val="00382038"/>
    <w:rsid w:val="003827C4"/>
    <w:rsid w:val="00382818"/>
    <w:rsid w:val="00382BEE"/>
    <w:rsid w:val="00382E17"/>
    <w:rsid w:val="00382FDE"/>
    <w:rsid w:val="00383FA9"/>
    <w:rsid w:val="003842F7"/>
    <w:rsid w:val="003844DD"/>
    <w:rsid w:val="00384597"/>
    <w:rsid w:val="003846C9"/>
    <w:rsid w:val="003856AD"/>
    <w:rsid w:val="00386973"/>
    <w:rsid w:val="0038729C"/>
    <w:rsid w:val="00387388"/>
    <w:rsid w:val="00387A23"/>
    <w:rsid w:val="00390224"/>
    <w:rsid w:val="00390B59"/>
    <w:rsid w:val="0039112C"/>
    <w:rsid w:val="00391369"/>
    <w:rsid w:val="00391C3F"/>
    <w:rsid w:val="0039230C"/>
    <w:rsid w:val="003929D6"/>
    <w:rsid w:val="00392E21"/>
    <w:rsid w:val="0039358D"/>
    <w:rsid w:val="0039391E"/>
    <w:rsid w:val="00393930"/>
    <w:rsid w:val="0039498D"/>
    <w:rsid w:val="00395307"/>
    <w:rsid w:val="00395929"/>
    <w:rsid w:val="003959AF"/>
    <w:rsid w:val="003970CB"/>
    <w:rsid w:val="003976E2"/>
    <w:rsid w:val="00397ED2"/>
    <w:rsid w:val="003A0D27"/>
    <w:rsid w:val="003A1034"/>
    <w:rsid w:val="003A1176"/>
    <w:rsid w:val="003A1F2D"/>
    <w:rsid w:val="003A2FFD"/>
    <w:rsid w:val="003A3105"/>
    <w:rsid w:val="003A3EF9"/>
    <w:rsid w:val="003A41A0"/>
    <w:rsid w:val="003A4759"/>
    <w:rsid w:val="003A4F39"/>
    <w:rsid w:val="003A6408"/>
    <w:rsid w:val="003A6F05"/>
    <w:rsid w:val="003A782C"/>
    <w:rsid w:val="003A7922"/>
    <w:rsid w:val="003B0133"/>
    <w:rsid w:val="003B05FE"/>
    <w:rsid w:val="003B0B5D"/>
    <w:rsid w:val="003B119A"/>
    <w:rsid w:val="003B15D4"/>
    <w:rsid w:val="003B182F"/>
    <w:rsid w:val="003B2EC4"/>
    <w:rsid w:val="003B421D"/>
    <w:rsid w:val="003B523F"/>
    <w:rsid w:val="003B5362"/>
    <w:rsid w:val="003B5B46"/>
    <w:rsid w:val="003B777B"/>
    <w:rsid w:val="003B7F9C"/>
    <w:rsid w:val="003C02AF"/>
    <w:rsid w:val="003C0C28"/>
    <w:rsid w:val="003C0D29"/>
    <w:rsid w:val="003C1FE1"/>
    <w:rsid w:val="003C2064"/>
    <w:rsid w:val="003C2FE9"/>
    <w:rsid w:val="003C397D"/>
    <w:rsid w:val="003C39F8"/>
    <w:rsid w:val="003C568D"/>
    <w:rsid w:val="003C5781"/>
    <w:rsid w:val="003C6CB5"/>
    <w:rsid w:val="003D05D7"/>
    <w:rsid w:val="003D0F30"/>
    <w:rsid w:val="003D1658"/>
    <w:rsid w:val="003D1C49"/>
    <w:rsid w:val="003D2499"/>
    <w:rsid w:val="003D27A5"/>
    <w:rsid w:val="003D3010"/>
    <w:rsid w:val="003D4169"/>
    <w:rsid w:val="003D4A5F"/>
    <w:rsid w:val="003D51F2"/>
    <w:rsid w:val="003D5EDA"/>
    <w:rsid w:val="003D5FF4"/>
    <w:rsid w:val="003D6216"/>
    <w:rsid w:val="003D68D9"/>
    <w:rsid w:val="003D6A1C"/>
    <w:rsid w:val="003D6A9B"/>
    <w:rsid w:val="003D75C5"/>
    <w:rsid w:val="003D7F3E"/>
    <w:rsid w:val="003E06B6"/>
    <w:rsid w:val="003E089E"/>
    <w:rsid w:val="003E0981"/>
    <w:rsid w:val="003E1524"/>
    <w:rsid w:val="003E28F9"/>
    <w:rsid w:val="003E2BDD"/>
    <w:rsid w:val="003E2C38"/>
    <w:rsid w:val="003E3886"/>
    <w:rsid w:val="003E3FE4"/>
    <w:rsid w:val="003E40C4"/>
    <w:rsid w:val="003E4717"/>
    <w:rsid w:val="003E526C"/>
    <w:rsid w:val="003E553E"/>
    <w:rsid w:val="003E5AF1"/>
    <w:rsid w:val="003E7084"/>
    <w:rsid w:val="003F18B3"/>
    <w:rsid w:val="003F2582"/>
    <w:rsid w:val="003F2AA9"/>
    <w:rsid w:val="003F2D42"/>
    <w:rsid w:val="003F2F2E"/>
    <w:rsid w:val="003F306F"/>
    <w:rsid w:val="003F315B"/>
    <w:rsid w:val="003F3297"/>
    <w:rsid w:val="003F55F1"/>
    <w:rsid w:val="003F6190"/>
    <w:rsid w:val="003F657D"/>
    <w:rsid w:val="003F784C"/>
    <w:rsid w:val="003F7CBD"/>
    <w:rsid w:val="00400216"/>
    <w:rsid w:val="00401E5A"/>
    <w:rsid w:val="00402C61"/>
    <w:rsid w:val="0040313E"/>
    <w:rsid w:val="0040321D"/>
    <w:rsid w:val="00403470"/>
    <w:rsid w:val="0040536E"/>
    <w:rsid w:val="00405A54"/>
    <w:rsid w:val="0040643D"/>
    <w:rsid w:val="00406D4C"/>
    <w:rsid w:val="00407756"/>
    <w:rsid w:val="004078EC"/>
    <w:rsid w:val="00407CDD"/>
    <w:rsid w:val="004102C5"/>
    <w:rsid w:val="00410B0E"/>
    <w:rsid w:val="00410B66"/>
    <w:rsid w:val="00411311"/>
    <w:rsid w:val="00411D07"/>
    <w:rsid w:val="0041263F"/>
    <w:rsid w:val="00412E57"/>
    <w:rsid w:val="0041372D"/>
    <w:rsid w:val="00413F4D"/>
    <w:rsid w:val="004140A4"/>
    <w:rsid w:val="00414AF2"/>
    <w:rsid w:val="00415F9F"/>
    <w:rsid w:val="00416E8F"/>
    <w:rsid w:val="00417F59"/>
    <w:rsid w:val="00420532"/>
    <w:rsid w:val="0042081A"/>
    <w:rsid w:val="0042124B"/>
    <w:rsid w:val="00421661"/>
    <w:rsid w:val="004219E3"/>
    <w:rsid w:val="004220D8"/>
    <w:rsid w:val="004226FB"/>
    <w:rsid w:val="00422869"/>
    <w:rsid w:val="00423A51"/>
    <w:rsid w:val="0042446A"/>
    <w:rsid w:val="004257EE"/>
    <w:rsid w:val="004259BB"/>
    <w:rsid w:val="00426255"/>
    <w:rsid w:val="004264A7"/>
    <w:rsid w:val="00426818"/>
    <w:rsid w:val="00426FD1"/>
    <w:rsid w:val="00427C06"/>
    <w:rsid w:val="00427D7A"/>
    <w:rsid w:val="004303BA"/>
    <w:rsid w:val="004317EF"/>
    <w:rsid w:val="00431994"/>
    <w:rsid w:val="00431DD5"/>
    <w:rsid w:val="00431F83"/>
    <w:rsid w:val="004322B2"/>
    <w:rsid w:val="00433D1F"/>
    <w:rsid w:val="00433FD7"/>
    <w:rsid w:val="00434203"/>
    <w:rsid w:val="004342A9"/>
    <w:rsid w:val="0043458F"/>
    <w:rsid w:val="0043459C"/>
    <w:rsid w:val="00434BE5"/>
    <w:rsid w:val="00434CB7"/>
    <w:rsid w:val="00435996"/>
    <w:rsid w:val="004374C7"/>
    <w:rsid w:val="004376C7"/>
    <w:rsid w:val="00437777"/>
    <w:rsid w:val="0043799B"/>
    <w:rsid w:val="004407F6"/>
    <w:rsid w:val="00440B1E"/>
    <w:rsid w:val="00441570"/>
    <w:rsid w:val="00441B6E"/>
    <w:rsid w:val="0044265C"/>
    <w:rsid w:val="004427CD"/>
    <w:rsid w:val="00443905"/>
    <w:rsid w:val="00443EA8"/>
    <w:rsid w:val="004440F4"/>
    <w:rsid w:val="0044471C"/>
    <w:rsid w:val="0044492C"/>
    <w:rsid w:val="0044520F"/>
    <w:rsid w:val="00445F74"/>
    <w:rsid w:val="004463F9"/>
    <w:rsid w:val="00446850"/>
    <w:rsid w:val="00446FC2"/>
    <w:rsid w:val="004472FF"/>
    <w:rsid w:val="004479AE"/>
    <w:rsid w:val="00450935"/>
    <w:rsid w:val="00452138"/>
    <w:rsid w:val="00452E38"/>
    <w:rsid w:val="00452F2F"/>
    <w:rsid w:val="00454213"/>
    <w:rsid w:val="004542F9"/>
    <w:rsid w:val="004550F0"/>
    <w:rsid w:val="00455945"/>
    <w:rsid w:val="00455952"/>
    <w:rsid w:val="00455A8B"/>
    <w:rsid w:val="00455D3C"/>
    <w:rsid w:val="00455FA4"/>
    <w:rsid w:val="00455FED"/>
    <w:rsid w:val="0045605E"/>
    <w:rsid w:val="00456944"/>
    <w:rsid w:val="00456AA7"/>
    <w:rsid w:val="00456F79"/>
    <w:rsid w:val="0045774C"/>
    <w:rsid w:val="00457AC5"/>
    <w:rsid w:val="00457CA1"/>
    <w:rsid w:val="00460302"/>
    <w:rsid w:val="00461AB3"/>
    <w:rsid w:val="004629A5"/>
    <w:rsid w:val="00463717"/>
    <w:rsid w:val="00464C06"/>
    <w:rsid w:val="00464C07"/>
    <w:rsid w:val="00464E76"/>
    <w:rsid w:val="00466365"/>
    <w:rsid w:val="00467211"/>
    <w:rsid w:val="00467781"/>
    <w:rsid w:val="004679E0"/>
    <w:rsid w:val="00472631"/>
    <w:rsid w:val="00473C39"/>
    <w:rsid w:val="00474947"/>
    <w:rsid w:val="004749DA"/>
    <w:rsid w:val="00476A20"/>
    <w:rsid w:val="00480ABB"/>
    <w:rsid w:val="00480EEE"/>
    <w:rsid w:val="0048122B"/>
    <w:rsid w:val="00481370"/>
    <w:rsid w:val="004851F3"/>
    <w:rsid w:val="004874CB"/>
    <w:rsid w:val="00487B3F"/>
    <w:rsid w:val="00490A28"/>
    <w:rsid w:val="004929EA"/>
    <w:rsid w:val="00492CA3"/>
    <w:rsid w:val="004934CF"/>
    <w:rsid w:val="00493692"/>
    <w:rsid w:val="00493FA6"/>
    <w:rsid w:val="00494010"/>
    <w:rsid w:val="00494266"/>
    <w:rsid w:val="004948A1"/>
    <w:rsid w:val="004949AD"/>
    <w:rsid w:val="00495D87"/>
    <w:rsid w:val="004964A1"/>
    <w:rsid w:val="0049665B"/>
    <w:rsid w:val="004969D8"/>
    <w:rsid w:val="004975F4"/>
    <w:rsid w:val="004A0320"/>
    <w:rsid w:val="004A207F"/>
    <w:rsid w:val="004A2322"/>
    <w:rsid w:val="004A276E"/>
    <w:rsid w:val="004A2AF8"/>
    <w:rsid w:val="004A2EEB"/>
    <w:rsid w:val="004A2F30"/>
    <w:rsid w:val="004A3C20"/>
    <w:rsid w:val="004A4E66"/>
    <w:rsid w:val="004A4EC6"/>
    <w:rsid w:val="004A54EA"/>
    <w:rsid w:val="004A5ABD"/>
    <w:rsid w:val="004A5BEE"/>
    <w:rsid w:val="004A630E"/>
    <w:rsid w:val="004A68BD"/>
    <w:rsid w:val="004A70A1"/>
    <w:rsid w:val="004B0E05"/>
    <w:rsid w:val="004B1417"/>
    <w:rsid w:val="004B194F"/>
    <w:rsid w:val="004B1F18"/>
    <w:rsid w:val="004B2790"/>
    <w:rsid w:val="004B3DBD"/>
    <w:rsid w:val="004B3E10"/>
    <w:rsid w:val="004B3F0D"/>
    <w:rsid w:val="004B44BC"/>
    <w:rsid w:val="004B517A"/>
    <w:rsid w:val="004B53C2"/>
    <w:rsid w:val="004B5462"/>
    <w:rsid w:val="004B5F59"/>
    <w:rsid w:val="004B6B29"/>
    <w:rsid w:val="004B7A2A"/>
    <w:rsid w:val="004B7C6B"/>
    <w:rsid w:val="004C1283"/>
    <w:rsid w:val="004C12F2"/>
    <w:rsid w:val="004C1AED"/>
    <w:rsid w:val="004C1F75"/>
    <w:rsid w:val="004C2D24"/>
    <w:rsid w:val="004C3E3E"/>
    <w:rsid w:val="004C40D3"/>
    <w:rsid w:val="004C4247"/>
    <w:rsid w:val="004C46D7"/>
    <w:rsid w:val="004C4B80"/>
    <w:rsid w:val="004C4F5A"/>
    <w:rsid w:val="004C527A"/>
    <w:rsid w:val="004C531F"/>
    <w:rsid w:val="004C54BE"/>
    <w:rsid w:val="004C5865"/>
    <w:rsid w:val="004C591B"/>
    <w:rsid w:val="004D0A1F"/>
    <w:rsid w:val="004D1699"/>
    <w:rsid w:val="004D17D5"/>
    <w:rsid w:val="004D192A"/>
    <w:rsid w:val="004D1C20"/>
    <w:rsid w:val="004D228A"/>
    <w:rsid w:val="004D27AE"/>
    <w:rsid w:val="004D34DB"/>
    <w:rsid w:val="004D3B4F"/>
    <w:rsid w:val="004D4F6D"/>
    <w:rsid w:val="004D5BE0"/>
    <w:rsid w:val="004E0B38"/>
    <w:rsid w:val="004E172F"/>
    <w:rsid w:val="004E3254"/>
    <w:rsid w:val="004E39D6"/>
    <w:rsid w:val="004E3D09"/>
    <w:rsid w:val="004E4154"/>
    <w:rsid w:val="004E4BA8"/>
    <w:rsid w:val="004E51CA"/>
    <w:rsid w:val="004E5358"/>
    <w:rsid w:val="004E57EB"/>
    <w:rsid w:val="004E626A"/>
    <w:rsid w:val="004E6DF5"/>
    <w:rsid w:val="004E7631"/>
    <w:rsid w:val="004E790C"/>
    <w:rsid w:val="004E7CC1"/>
    <w:rsid w:val="004E7ED6"/>
    <w:rsid w:val="004E7FA7"/>
    <w:rsid w:val="004F0222"/>
    <w:rsid w:val="004F0B24"/>
    <w:rsid w:val="004F311A"/>
    <w:rsid w:val="004F3C68"/>
    <w:rsid w:val="004F45D4"/>
    <w:rsid w:val="004F48DF"/>
    <w:rsid w:val="004F4CFF"/>
    <w:rsid w:val="004F569C"/>
    <w:rsid w:val="004F5CF4"/>
    <w:rsid w:val="004F5D47"/>
    <w:rsid w:val="004F68A3"/>
    <w:rsid w:val="004F6929"/>
    <w:rsid w:val="004F6941"/>
    <w:rsid w:val="004F6D8C"/>
    <w:rsid w:val="004F7075"/>
    <w:rsid w:val="0050056E"/>
    <w:rsid w:val="00500C34"/>
    <w:rsid w:val="005018A3"/>
    <w:rsid w:val="00501A08"/>
    <w:rsid w:val="0050240D"/>
    <w:rsid w:val="00502759"/>
    <w:rsid w:val="0050294F"/>
    <w:rsid w:val="00503349"/>
    <w:rsid w:val="005041BF"/>
    <w:rsid w:val="00504FBB"/>
    <w:rsid w:val="00505A8D"/>
    <w:rsid w:val="00505CE3"/>
    <w:rsid w:val="005061EB"/>
    <w:rsid w:val="005062B9"/>
    <w:rsid w:val="00506C6D"/>
    <w:rsid w:val="00506CAF"/>
    <w:rsid w:val="005105B0"/>
    <w:rsid w:val="00510632"/>
    <w:rsid w:val="00510964"/>
    <w:rsid w:val="00510BD6"/>
    <w:rsid w:val="0051239D"/>
    <w:rsid w:val="00512829"/>
    <w:rsid w:val="00512AD3"/>
    <w:rsid w:val="00513489"/>
    <w:rsid w:val="00513CD9"/>
    <w:rsid w:val="00513E66"/>
    <w:rsid w:val="00513F3A"/>
    <w:rsid w:val="0051553E"/>
    <w:rsid w:val="005155A1"/>
    <w:rsid w:val="00515A32"/>
    <w:rsid w:val="005169EB"/>
    <w:rsid w:val="00516BF6"/>
    <w:rsid w:val="005177C0"/>
    <w:rsid w:val="00520843"/>
    <w:rsid w:val="00520AA9"/>
    <w:rsid w:val="00520CF5"/>
    <w:rsid w:val="00521F09"/>
    <w:rsid w:val="00522449"/>
    <w:rsid w:val="00522E68"/>
    <w:rsid w:val="00523570"/>
    <w:rsid w:val="00524024"/>
    <w:rsid w:val="00524438"/>
    <w:rsid w:val="005247AD"/>
    <w:rsid w:val="00524D3E"/>
    <w:rsid w:val="00525139"/>
    <w:rsid w:val="00525926"/>
    <w:rsid w:val="00525B35"/>
    <w:rsid w:val="00525E1F"/>
    <w:rsid w:val="00526379"/>
    <w:rsid w:val="00527483"/>
    <w:rsid w:val="00527B23"/>
    <w:rsid w:val="00527F5B"/>
    <w:rsid w:val="00530114"/>
    <w:rsid w:val="005307E0"/>
    <w:rsid w:val="00530BAC"/>
    <w:rsid w:val="00530EFF"/>
    <w:rsid w:val="0053114F"/>
    <w:rsid w:val="005312AE"/>
    <w:rsid w:val="00532335"/>
    <w:rsid w:val="0053313D"/>
    <w:rsid w:val="00533758"/>
    <w:rsid w:val="00533B37"/>
    <w:rsid w:val="00533C61"/>
    <w:rsid w:val="00534209"/>
    <w:rsid w:val="005350C7"/>
    <w:rsid w:val="005358F9"/>
    <w:rsid w:val="005362E6"/>
    <w:rsid w:val="005365DE"/>
    <w:rsid w:val="00536A8F"/>
    <w:rsid w:val="0054068E"/>
    <w:rsid w:val="005416CE"/>
    <w:rsid w:val="0054178A"/>
    <w:rsid w:val="00541C70"/>
    <w:rsid w:val="005422D2"/>
    <w:rsid w:val="0054258D"/>
    <w:rsid w:val="00542660"/>
    <w:rsid w:val="005426F5"/>
    <w:rsid w:val="00542761"/>
    <w:rsid w:val="00542B9F"/>
    <w:rsid w:val="0054346A"/>
    <w:rsid w:val="005434B3"/>
    <w:rsid w:val="00543545"/>
    <w:rsid w:val="00543F6A"/>
    <w:rsid w:val="00544F45"/>
    <w:rsid w:val="005450C6"/>
    <w:rsid w:val="005454AE"/>
    <w:rsid w:val="005454EC"/>
    <w:rsid w:val="00545B2E"/>
    <w:rsid w:val="00545BAD"/>
    <w:rsid w:val="005466B7"/>
    <w:rsid w:val="00550E51"/>
    <w:rsid w:val="005510FE"/>
    <w:rsid w:val="0055134A"/>
    <w:rsid w:val="00551A4A"/>
    <w:rsid w:val="00551AD0"/>
    <w:rsid w:val="00551C00"/>
    <w:rsid w:val="00551DD1"/>
    <w:rsid w:val="00552237"/>
    <w:rsid w:val="00552BD4"/>
    <w:rsid w:val="00552F9E"/>
    <w:rsid w:val="005553C7"/>
    <w:rsid w:val="005554C1"/>
    <w:rsid w:val="00555982"/>
    <w:rsid w:val="005577ED"/>
    <w:rsid w:val="00557D5B"/>
    <w:rsid w:val="0056034E"/>
    <w:rsid w:val="005603A7"/>
    <w:rsid w:val="00560702"/>
    <w:rsid w:val="00560969"/>
    <w:rsid w:val="0056187D"/>
    <w:rsid w:val="00561994"/>
    <w:rsid w:val="00562BE3"/>
    <w:rsid w:val="005632F0"/>
    <w:rsid w:val="005636EF"/>
    <w:rsid w:val="00564F86"/>
    <w:rsid w:val="0056522B"/>
    <w:rsid w:val="005652FF"/>
    <w:rsid w:val="00565533"/>
    <w:rsid w:val="00565D44"/>
    <w:rsid w:val="00565DFD"/>
    <w:rsid w:val="0056753F"/>
    <w:rsid w:val="00567682"/>
    <w:rsid w:val="00567E47"/>
    <w:rsid w:val="00570D27"/>
    <w:rsid w:val="0057106D"/>
    <w:rsid w:val="00571C96"/>
    <w:rsid w:val="00572F51"/>
    <w:rsid w:val="005732AA"/>
    <w:rsid w:val="0057369B"/>
    <w:rsid w:val="005739EC"/>
    <w:rsid w:val="00574774"/>
    <w:rsid w:val="00575CF7"/>
    <w:rsid w:val="005764B3"/>
    <w:rsid w:val="005765B3"/>
    <w:rsid w:val="00576779"/>
    <w:rsid w:val="00577CFC"/>
    <w:rsid w:val="00580B42"/>
    <w:rsid w:val="00581071"/>
    <w:rsid w:val="00582225"/>
    <w:rsid w:val="0058235F"/>
    <w:rsid w:val="00582D59"/>
    <w:rsid w:val="00582F32"/>
    <w:rsid w:val="005834B2"/>
    <w:rsid w:val="00583EA6"/>
    <w:rsid w:val="00584278"/>
    <w:rsid w:val="00584717"/>
    <w:rsid w:val="005864B3"/>
    <w:rsid w:val="00586BDB"/>
    <w:rsid w:val="00587AE0"/>
    <w:rsid w:val="005907A8"/>
    <w:rsid w:val="00590ECE"/>
    <w:rsid w:val="0059191C"/>
    <w:rsid w:val="00592709"/>
    <w:rsid w:val="00592BB7"/>
    <w:rsid w:val="00593288"/>
    <w:rsid w:val="00593B09"/>
    <w:rsid w:val="00595B93"/>
    <w:rsid w:val="005960C6"/>
    <w:rsid w:val="00596300"/>
    <w:rsid w:val="00596344"/>
    <w:rsid w:val="00596442"/>
    <w:rsid w:val="00596538"/>
    <w:rsid w:val="005969CE"/>
    <w:rsid w:val="00596F25"/>
    <w:rsid w:val="0059701A"/>
    <w:rsid w:val="00597148"/>
    <w:rsid w:val="005974E2"/>
    <w:rsid w:val="00597565"/>
    <w:rsid w:val="00597C0B"/>
    <w:rsid w:val="00597DA6"/>
    <w:rsid w:val="005A069A"/>
    <w:rsid w:val="005A075B"/>
    <w:rsid w:val="005A177E"/>
    <w:rsid w:val="005A19AA"/>
    <w:rsid w:val="005A1EB7"/>
    <w:rsid w:val="005A30B8"/>
    <w:rsid w:val="005A30CF"/>
    <w:rsid w:val="005A3E23"/>
    <w:rsid w:val="005A3F02"/>
    <w:rsid w:val="005A4AAD"/>
    <w:rsid w:val="005A4FDA"/>
    <w:rsid w:val="005A528C"/>
    <w:rsid w:val="005A6551"/>
    <w:rsid w:val="005A65AF"/>
    <w:rsid w:val="005A6B78"/>
    <w:rsid w:val="005A7958"/>
    <w:rsid w:val="005B17B4"/>
    <w:rsid w:val="005B1964"/>
    <w:rsid w:val="005B2034"/>
    <w:rsid w:val="005B20DF"/>
    <w:rsid w:val="005B2421"/>
    <w:rsid w:val="005B26FA"/>
    <w:rsid w:val="005B48B4"/>
    <w:rsid w:val="005B498E"/>
    <w:rsid w:val="005B5C98"/>
    <w:rsid w:val="005B5EB5"/>
    <w:rsid w:val="005B6BE6"/>
    <w:rsid w:val="005B7CE7"/>
    <w:rsid w:val="005B7D18"/>
    <w:rsid w:val="005C0047"/>
    <w:rsid w:val="005C0190"/>
    <w:rsid w:val="005C04A1"/>
    <w:rsid w:val="005C0BB4"/>
    <w:rsid w:val="005C0C66"/>
    <w:rsid w:val="005C1127"/>
    <w:rsid w:val="005C13CB"/>
    <w:rsid w:val="005C231C"/>
    <w:rsid w:val="005C258C"/>
    <w:rsid w:val="005C3314"/>
    <w:rsid w:val="005C33FD"/>
    <w:rsid w:val="005C4225"/>
    <w:rsid w:val="005C42A5"/>
    <w:rsid w:val="005C43AE"/>
    <w:rsid w:val="005C44ED"/>
    <w:rsid w:val="005C5DE4"/>
    <w:rsid w:val="005C5FAD"/>
    <w:rsid w:val="005C660F"/>
    <w:rsid w:val="005C689E"/>
    <w:rsid w:val="005C69D6"/>
    <w:rsid w:val="005C6F65"/>
    <w:rsid w:val="005C7824"/>
    <w:rsid w:val="005D0536"/>
    <w:rsid w:val="005D0AA0"/>
    <w:rsid w:val="005D12F7"/>
    <w:rsid w:val="005D22BA"/>
    <w:rsid w:val="005D3383"/>
    <w:rsid w:val="005D44DC"/>
    <w:rsid w:val="005D4932"/>
    <w:rsid w:val="005D49C7"/>
    <w:rsid w:val="005D5242"/>
    <w:rsid w:val="005D5B23"/>
    <w:rsid w:val="005D5C54"/>
    <w:rsid w:val="005D678C"/>
    <w:rsid w:val="005D67BF"/>
    <w:rsid w:val="005D7A78"/>
    <w:rsid w:val="005D7FC2"/>
    <w:rsid w:val="005E072D"/>
    <w:rsid w:val="005E0797"/>
    <w:rsid w:val="005E0B95"/>
    <w:rsid w:val="005E0DDF"/>
    <w:rsid w:val="005E1184"/>
    <w:rsid w:val="005E1E22"/>
    <w:rsid w:val="005E2690"/>
    <w:rsid w:val="005E2BD7"/>
    <w:rsid w:val="005E2F5E"/>
    <w:rsid w:val="005E4924"/>
    <w:rsid w:val="005E4B65"/>
    <w:rsid w:val="005E57B1"/>
    <w:rsid w:val="005F04BF"/>
    <w:rsid w:val="005F05D1"/>
    <w:rsid w:val="005F0794"/>
    <w:rsid w:val="005F0E49"/>
    <w:rsid w:val="005F155E"/>
    <w:rsid w:val="005F1A52"/>
    <w:rsid w:val="005F1CC1"/>
    <w:rsid w:val="005F2BCC"/>
    <w:rsid w:val="005F30AB"/>
    <w:rsid w:val="005F3851"/>
    <w:rsid w:val="005F407A"/>
    <w:rsid w:val="005F40CE"/>
    <w:rsid w:val="005F5B1D"/>
    <w:rsid w:val="005F5F0F"/>
    <w:rsid w:val="005F6CFC"/>
    <w:rsid w:val="005F71C2"/>
    <w:rsid w:val="005F7339"/>
    <w:rsid w:val="005F793B"/>
    <w:rsid w:val="00600418"/>
    <w:rsid w:val="00600BDE"/>
    <w:rsid w:val="00600CB9"/>
    <w:rsid w:val="00600CFD"/>
    <w:rsid w:val="00600D98"/>
    <w:rsid w:val="006021B5"/>
    <w:rsid w:val="0060332F"/>
    <w:rsid w:val="006034A5"/>
    <w:rsid w:val="006041C6"/>
    <w:rsid w:val="00604622"/>
    <w:rsid w:val="00604BD3"/>
    <w:rsid w:val="00606A95"/>
    <w:rsid w:val="00606FA0"/>
    <w:rsid w:val="006071E2"/>
    <w:rsid w:val="00607696"/>
    <w:rsid w:val="006105E5"/>
    <w:rsid w:val="00610AE9"/>
    <w:rsid w:val="00610CA6"/>
    <w:rsid w:val="00611B41"/>
    <w:rsid w:val="006125D6"/>
    <w:rsid w:val="00612AB2"/>
    <w:rsid w:val="00612DBC"/>
    <w:rsid w:val="00613CCD"/>
    <w:rsid w:val="00613F59"/>
    <w:rsid w:val="00614B72"/>
    <w:rsid w:val="006178D4"/>
    <w:rsid w:val="00617AD2"/>
    <w:rsid w:val="00620076"/>
    <w:rsid w:val="006203AE"/>
    <w:rsid w:val="00620406"/>
    <w:rsid w:val="006210CB"/>
    <w:rsid w:val="006217DC"/>
    <w:rsid w:val="00622892"/>
    <w:rsid w:val="00622DEC"/>
    <w:rsid w:val="006231BF"/>
    <w:rsid w:val="006237F6"/>
    <w:rsid w:val="006239A5"/>
    <w:rsid w:val="00623B5F"/>
    <w:rsid w:val="00623D05"/>
    <w:rsid w:val="006248F2"/>
    <w:rsid w:val="00624F6A"/>
    <w:rsid w:val="00625947"/>
    <w:rsid w:val="00626006"/>
    <w:rsid w:val="00626B75"/>
    <w:rsid w:val="00627CB5"/>
    <w:rsid w:val="006301C6"/>
    <w:rsid w:val="00630743"/>
    <w:rsid w:val="00630830"/>
    <w:rsid w:val="0063098B"/>
    <w:rsid w:val="006314D1"/>
    <w:rsid w:val="006318A1"/>
    <w:rsid w:val="0063191D"/>
    <w:rsid w:val="00631D60"/>
    <w:rsid w:val="00631EC6"/>
    <w:rsid w:val="00632464"/>
    <w:rsid w:val="00632CB3"/>
    <w:rsid w:val="00632EA4"/>
    <w:rsid w:val="00632F6D"/>
    <w:rsid w:val="00633140"/>
    <w:rsid w:val="00633504"/>
    <w:rsid w:val="006338EA"/>
    <w:rsid w:val="00633E25"/>
    <w:rsid w:val="00634461"/>
    <w:rsid w:val="00634B8F"/>
    <w:rsid w:val="0063546F"/>
    <w:rsid w:val="00635F6B"/>
    <w:rsid w:val="006361B5"/>
    <w:rsid w:val="00636775"/>
    <w:rsid w:val="00636E9D"/>
    <w:rsid w:val="00637263"/>
    <w:rsid w:val="006373B7"/>
    <w:rsid w:val="00640A64"/>
    <w:rsid w:val="00640C1D"/>
    <w:rsid w:val="00641981"/>
    <w:rsid w:val="00641D84"/>
    <w:rsid w:val="0064326C"/>
    <w:rsid w:val="00645D06"/>
    <w:rsid w:val="00645EBC"/>
    <w:rsid w:val="00646AF3"/>
    <w:rsid w:val="00646E2A"/>
    <w:rsid w:val="0064716A"/>
    <w:rsid w:val="0064770D"/>
    <w:rsid w:val="006478DC"/>
    <w:rsid w:val="006504A9"/>
    <w:rsid w:val="00651443"/>
    <w:rsid w:val="00651534"/>
    <w:rsid w:val="006516CC"/>
    <w:rsid w:val="00651E13"/>
    <w:rsid w:val="006526D9"/>
    <w:rsid w:val="00653D7D"/>
    <w:rsid w:val="00654998"/>
    <w:rsid w:val="00655091"/>
    <w:rsid w:val="006555F3"/>
    <w:rsid w:val="00655D56"/>
    <w:rsid w:val="00656A4F"/>
    <w:rsid w:val="00656F20"/>
    <w:rsid w:val="0065739C"/>
    <w:rsid w:val="00660144"/>
    <w:rsid w:val="00660A7E"/>
    <w:rsid w:val="00661093"/>
    <w:rsid w:val="00662B2E"/>
    <w:rsid w:val="00663194"/>
    <w:rsid w:val="006638F7"/>
    <w:rsid w:val="00663E60"/>
    <w:rsid w:val="0066522F"/>
    <w:rsid w:val="00666FBB"/>
    <w:rsid w:val="0066765C"/>
    <w:rsid w:val="0066781E"/>
    <w:rsid w:val="006704A4"/>
    <w:rsid w:val="00670974"/>
    <w:rsid w:val="00670BE0"/>
    <w:rsid w:val="00670DA9"/>
    <w:rsid w:val="00671849"/>
    <w:rsid w:val="00671DCD"/>
    <w:rsid w:val="006720D0"/>
    <w:rsid w:val="00672D2A"/>
    <w:rsid w:val="0067378F"/>
    <w:rsid w:val="006749EB"/>
    <w:rsid w:val="00675690"/>
    <w:rsid w:val="006758D2"/>
    <w:rsid w:val="00675A9E"/>
    <w:rsid w:val="0067664E"/>
    <w:rsid w:val="00676E9C"/>
    <w:rsid w:val="00677458"/>
    <w:rsid w:val="00677804"/>
    <w:rsid w:val="006778E7"/>
    <w:rsid w:val="00677E50"/>
    <w:rsid w:val="0068038A"/>
    <w:rsid w:val="00680A33"/>
    <w:rsid w:val="00680CC9"/>
    <w:rsid w:val="00680DFE"/>
    <w:rsid w:val="00680E98"/>
    <w:rsid w:val="00681AFA"/>
    <w:rsid w:val="00681B45"/>
    <w:rsid w:val="00681E4C"/>
    <w:rsid w:val="00683C1C"/>
    <w:rsid w:val="00684DEB"/>
    <w:rsid w:val="0068501E"/>
    <w:rsid w:val="0068552A"/>
    <w:rsid w:val="00685743"/>
    <w:rsid w:val="00685AC2"/>
    <w:rsid w:val="0068604A"/>
    <w:rsid w:val="0068670E"/>
    <w:rsid w:val="006871E5"/>
    <w:rsid w:val="006904C2"/>
    <w:rsid w:val="0069175F"/>
    <w:rsid w:val="00692FAF"/>
    <w:rsid w:val="00693691"/>
    <w:rsid w:val="00693ACD"/>
    <w:rsid w:val="006942ED"/>
    <w:rsid w:val="00695388"/>
    <w:rsid w:val="006956AD"/>
    <w:rsid w:val="00695E3B"/>
    <w:rsid w:val="00696382"/>
    <w:rsid w:val="00697761"/>
    <w:rsid w:val="006A07E5"/>
    <w:rsid w:val="006A0BBC"/>
    <w:rsid w:val="006A12E5"/>
    <w:rsid w:val="006A1306"/>
    <w:rsid w:val="006A1421"/>
    <w:rsid w:val="006A1DE9"/>
    <w:rsid w:val="006A2A67"/>
    <w:rsid w:val="006A5508"/>
    <w:rsid w:val="006A5747"/>
    <w:rsid w:val="006A61D8"/>
    <w:rsid w:val="006A63C0"/>
    <w:rsid w:val="006A6618"/>
    <w:rsid w:val="006A69F7"/>
    <w:rsid w:val="006A6A0D"/>
    <w:rsid w:val="006A6C15"/>
    <w:rsid w:val="006A6DE2"/>
    <w:rsid w:val="006A6ED8"/>
    <w:rsid w:val="006A70A2"/>
    <w:rsid w:val="006A74AA"/>
    <w:rsid w:val="006B046A"/>
    <w:rsid w:val="006B047A"/>
    <w:rsid w:val="006B0DDE"/>
    <w:rsid w:val="006B2308"/>
    <w:rsid w:val="006B27A0"/>
    <w:rsid w:val="006B3D8E"/>
    <w:rsid w:val="006B413A"/>
    <w:rsid w:val="006B60B7"/>
    <w:rsid w:val="006B6514"/>
    <w:rsid w:val="006B6728"/>
    <w:rsid w:val="006B6857"/>
    <w:rsid w:val="006B7033"/>
    <w:rsid w:val="006C0202"/>
    <w:rsid w:val="006C0669"/>
    <w:rsid w:val="006C0681"/>
    <w:rsid w:val="006C1199"/>
    <w:rsid w:val="006C12CB"/>
    <w:rsid w:val="006C1B19"/>
    <w:rsid w:val="006C207D"/>
    <w:rsid w:val="006C212D"/>
    <w:rsid w:val="006C25B9"/>
    <w:rsid w:val="006C327D"/>
    <w:rsid w:val="006C3AFA"/>
    <w:rsid w:val="006C53B1"/>
    <w:rsid w:val="006C5829"/>
    <w:rsid w:val="006C5DE6"/>
    <w:rsid w:val="006C6478"/>
    <w:rsid w:val="006C7869"/>
    <w:rsid w:val="006C7CCF"/>
    <w:rsid w:val="006D0345"/>
    <w:rsid w:val="006D0708"/>
    <w:rsid w:val="006D075A"/>
    <w:rsid w:val="006D0CF3"/>
    <w:rsid w:val="006D16F4"/>
    <w:rsid w:val="006D186D"/>
    <w:rsid w:val="006D1A2C"/>
    <w:rsid w:val="006D1C15"/>
    <w:rsid w:val="006D277E"/>
    <w:rsid w:val="006D2892"/>
    <w:rsid w:val="006D36C9"/>
    <w:rsid w:val="006D3CF9"/>
    <w:rsid w:val="006D464A"/>
    <w:rsid w:val="006D464D"/>
    <w:rsid w:val="006D5B58"/>
    <w:rsid w:val="006D66E4"/>
    <w:rsid w:val="006D6D80"/>
    <w:rsid w:val="006D79F7"/>
    <w:rsid w:val="006D7F0F"/>
    <w:rsid w:val="006E00D0"/>
    <w:rsid w:val="006E04A4"/>
    <w:rsid w:val="006E0521"/>
    <w:rsid w:val="006E0629"/>
    <w:rsid w:val="006E1D95"/>
    <w:rsid w:val="006E268D"/>
    <w:rsid w:val="006E2B8F"/>
    <w:rsid w:val="006E34B9"/>
    <w:rsid w:val="006E37D6"/>
    <w:rsid w:val="006E3E95"/>
    <w:rsid w:val="006E3F1E"/>
    <w:rsid w:val="006E4EE8"/>
    <w:rsid w:val="006E612F"/>
    <w:rsid w:val="006E6823"/>
    <w:rsid w:val="006E6848"/>
    <w:rsid w:val="006E6C51"/>
    <w:rsid w:val="006E71CE"/>
    <w:rsid w:val="006E779C"/>
    <w:rsid w:val="006E7D28"/>
    <w:rsid w:val="006E7E62"/>
    <w:rsid w:val="006F1ADB"/>
    <w:rsid w:val="006F246F"/>
    <w:rsid w:val="006F2BCB"/>
    <w:rsid w:val="006F2F2E"/>
    <w:rsid w:val="006F3F01"/>
    <w:rsid w:val="006F3F60"/>
    <w:rsid w:val="006F50D5"/>
    <w:rsid w:val="006F511B"/>
    <w:rsid w:val="006F54CB"/>
    <w:rsid w:val="006F5B79"/>
    <w:rsid w:val="006F684A"/>
    <w:rsid w:val="006F7EDE"/>
    <w:rsid w:val="00700611"/>
    <w:rsid w:val="007006A1"/>
    <w:rsid w:val="00700E11"/>
    <w:rsid w:val="0070250D"/>
    <w:rsid w:val="007029B7"/>
    <w:rsid w:val="00702CF2"/>
    <w:rsid w:val="00703268"/>
    <w:rsid w:val="007032C3"/>
    <w:rsid w:val="007036C0"/>
    <w:rsid w:val="00703AAC"/>
    <w:rsid w:val="00703CC3"/>
    <w:rsid w:val="007043B0"/>
    <w:rsid w:val="00704C80"/>
    <w:rsid w:val="007054AB"/>
    <w:rsid w:val="007054EA"/>
    <w:rsid w:val="007059E8"/>
    <w:rsid w:val="00705B3E"/>
    <w:rsid w:val="00705CA0"/>
    <w:rsid w:val="007076DF"/>
    <w:rsid w:val="00707964"/>
    <w:rsid w:val="007102AF"/>
    <w:rsid w:val="00710D2F"/>
    <w:rsid w:val="00712018"/>
    <w:rsid w:val="0071204E"/>
    <w:rsid w:val="007124BF"/>
    <w:rsid w:val="007127F6"/>
    <w:rsid w:val="00712ACB"/>
    <w:rsid w:val="00713B44"/>
    <w:rsid w:val="00713E50"/>
    <w:rsid w:val="00713EAF"/>
    <w:rsid w:val="00714187"/>
    <w:rsid w:val="00714E7D"/>
    <w:rsid w:val="007153B1"/>
    <w:rsid w:val="00715C4F"/>
    <w:rsid w:val="00716BA6"/>
    <w:rsid w:val="00717334"/>
    <w:rsid w:val="0071746E"/>
    <w:rsid w:val="007176B9"/>
    <w:rsid w:val="0071776F"/>
    <w:rsid w:val="00717C2A"/>
    <w:rsid w:val="00717D05"/>
    <w:rsid w:val="0072192B"/>
    <w:rsid w:val="007220BB"/>
    <w:rsid w:val="00722940"/>
    <w:rsid w:val="00722D1D"/>
    <w:rsid w:val="00722D72"/>
    <w:rsid w:val="00722E47"/>
    <w:rsid w:val="00722E4B"/>
    <w:rsid w:val="00722EF7"/>
    <w:rsid w:val="00723376"/>
    <w:rsid w:val="007234CC"/>
    <w:rsid w:val="007234FC"/>
    <w:rsid w:val="0072366E"/>
    <w:rsid w:val="00724FFE"/>
    <w:rsid w:val="007251A3"/>
    <w:rsid w:val="0072543D"/>
    <w:rsid w:val="0072544D"/>
    <w:rsid w:val="00726CAD"/>
    <w:rsid w:val="00726CF4"/>
    <w:rsid w:val="00726DBC"/>
    <w:rsid w:val="00727C59"/>
    <w:rsid w:val="00727EBB"/>
    <w:rsid w:val="00730A76"/>
    <w:rsid w:val="00730D87"/>
    <w:rsid w:val="0073108E"/>
    <w:rsid w:val="00731E20"/>
    <w:rsid w:val="00732083"/>
    <w:rsid w:val="0073293E"/>
    <w:rsid w:val="00732D10"/>
    <w:rsid w:val="00732D3C"/>
    <w:rsid w:val="00734208"/>
    <w:rsid w:val="00734774"/>
    <w:rsid w:val="00734B22"/>
    <w:rsid w:val="007350BE"/>
    <w:rsid w:val="00735CBA"/>
    <w:rsid w:val="00736057"/>
    <w:rsid w:val="007371C5"/>
    <w:rsid w:val="0073736F"/>
    <w:rsid w:val="007373E2"/>
    <w:rsid w:val="00737DB8"/>
    <w:rsid w:val="00740075"/>
    <w:rsid w:val="007405B5"/>
    <w:rsid w:val="007415B3"/>
    <w:rsid w:val="00742D6A"/>
    <w:rsid w:val="007430F8"/>
    <w:rsid w:val="007434CF"/>
    <w:rsid w:val="007436E0"/>
    <w:rsid w:val="0074413E"/>
    <w:rsid w:val="00744197"/>
    <w:rsid w:val="00744279"/>
    <w:rsid w:val="00744A0A"/>
    <w:rsid w:val="00745F1E"/>
    <w:rsid w:val="00746C63"/>
    <w:rsid w:val="007474C8"/>
    <w:rsid w:val="00750100"/>
    <w:rsid w:val="007507C7"/>
    <w:rsid w:val="00750C56"/>
    <w:rsid w:val="0075134B"/>
    <w:rsid w:val="00751CB0"/>
    <w:rsid w:val="00751D5B"/>
    <w:rsid w:val="00752400"/>
    <w:rsid w:val="0075252B"/>
    <w:rsid w:val="00752717"/>
    <w:rsid w:val="00753D2C"/>
    <w:rsid w:val="00753E6E"/>
    <w:rsid w:val="007546F9"/>
    <w:rsid w:val="00754B93"/>
    <w:rsid w:val="007551A2"/>
    <w:rsid w:val="007552C2"/>
    <w:rsid w:val="007552ED"/>
    <w:rsid w:val="00755902"/>
    <w:rsid w:val="00755AA2"/>
    <w:rsid w:val="00755C56"/>
    <w:rsid w:val="00755DA7"/>
    <w:rsid w:val="007566F2"/>
    <w:rsid w:val="00756B2E"/>
    <w:rsid w:val="00756EB8"/>
    <w:rsid w:val="007570C4"/>
    <w:rsid w:val="007572C0"/>
    <w:rsid w:val="007573B0"/>
    <w:rsid w:val="00757FAD"/>
    <w:rsid w:val="00760A98"/>
    <w:rsid w:val="00760E42"/>
    <w:rsid w:val="00761574"/>
    <w:rsid w:val="00761FEF"/>
    <w:rsid w:val="007625A7"/>
    <w:rsid w:val="00762703"/>
    <w:rsid w:val="00762CBF"/>
    <w:rsid w:val="007631AD"/>
    <w:rsid w:val="007644BE"/>
    <w:rsid w:val="00765B1B"/>
    <w:rsid w:val="00765F0F"/>
    <w:rsid w:val="00765F33"/>
    <w:rsid w:val="007665F5"/>
    <w:rsid w:val="0076689D"/>
    <w:rsid w:val="00766B8F"/>
    <w:rsid w:val="0076719D"/>
    <w:rsid w:val="00767D57"/>
    <w:rsid w:val="00767EF3"/>
    <w:rsid w:val="00767F75"/>
    <w:rsid w:val="007700C7"/>
    <w:rsid w:val="007708F5"/>
    <w:rsid w:val="00771421"/>
    <w:rsid w:val="0077284B"/>
    <w:rsid w:val="007743CC"/>
    <w:rsid w:val="00774817"/>
    <w:rsid w:val="00774858"/>
    <w:rsid w:val="007748D9"/>
    <w:rsid w:val="00774A4A"/>
    <w:rsid w:val="00774FDA"/>
    <w:rsid w:val="007750D1"/>
    <w:rsid w:val="0077609F"/>
    <w:rsid w:val="007769B5"/>
    <w:rsid w:val="00776A8E"/>
    <w:rsid w:val="00776E7C"/>
    <w:rsid w:val="0078027B"/>
    <w:rsid w:val="00780947"/>
    <w:rsid w:val="00780B24"/>
    <w:rsid w:val="00782272"/>
    <w:rsid w:val="0078249B"/>
    <w:rsid w:val="007839EA"/>
    <w:rsid w:val="00783A6C"/>
    <w:rsid w:val="00783AB1"/>
    <w:rsid w:val="007844F7"/>
    <w:rsid w:val="00784F52"/>
    <w:rsid w:val="00785384"/>
    <w:rsid w:val="007853EA"/>
    <w:rsid w:val="007859BE"/>
    <w:rsid w:val="00786B33"/>
    <w:rsid w:val="00790A50"/>
    <w:rsid w:val="00790AE6"/>
    <w:rsid w:val="00791F44"/>
    <w:rsid w:val="0079290F"/>
    <w:rsid w:val="00792E77"/>
    <w:rsid w:val="00792EDC"/>
    <w:rsid w:val="00792EF4"/>
    <w:rsid w:val="007936A7"/>
    <w:rsid w:val="00793992"/>
    <w:rsid w:val="00793A73"/>
    <w:rsid w:val="0079425D"/>
    <w:rsid w:val="00794807"/>
    <w:rsid w:val="00794D31"/>
    <w:rsid w:val="0079627F"/>
    <w:rsid w:val="00796DBA"/>
    <w:rsid w:val="00796FE0"/>
    <w:rsid w:val="00797126"/>
    <w:rsid w:val="00797430"/>
    <w:rsid w:val="007A0E9A"/>
    <w:rsid w:val="007A11EC"/>
    <w:rsid w:val="007A141C"/>
    <w:rsid w:val="007A2FB7"/>
    <w:rsid w:val="007A3510"/>
    <w:rsid w:val="007A37F4"/>
    <w:rsid w:val="007A3BAE"/>
    <w:rsid w:val="007A5C87"/>
    <w:rsid w:val="007A5CBE"/>
    <w:rsid w:val="007A619C"/>
    <w:rsid w:val="007A62B1"/>
    <w:rsid w:val="007A66BF"/>
    <w:rsid w:val="007A6CDA"/>
    <w:rsid w:val="007A7338"/>
    <w:rsid w:val="007A7438"/>
    <w:rsid w:val="007A785F"/>
    <w:rsid w:val="007B1107"/>
    <w:rsid w:val="007B1CDD"/>
    <w:rsid w:val="007B1E88"/>
    <w:rsid w:val="007B2979"/>
    <w:rsid w:val="007B2FA0"/>
    <w:rsid w:val="007B3BA7"/>
    <w:rsid w:val="007B44E8"/>
    <w:rsid w:val="007B44F9"/>
    <w:rsid w:val="007B49D4"/>
    <w:rsid w:val="007B5225"/>
    <w:rsid w:val="007B523D"/>
    <w:rsid w:val="007B5A96"/>
    <w:rsid w:val="007B6089"/>
    <w:rsid w:val="007C02A5"/>
    <w:rsid w:val="007C0437"/>
    <w:rsid w:val="007C18B7"/>
    <w:rsid w:val="007C1F95"/>
    <w:rsid w:val="007C2067"/>
    <w:rsid w:val="007C206A"/>
    <w:rsid w:val="007C2263"/>
    <w:rsid w:val="007C2E1A"/>
    <w:rsid w:val="007C3D1E"/>
    <w:rsid w:val="007C426E"/>
    <w:rsid w:val="007C4CB4"/>
    <w:rsid w:val="007C4EE0"/>
    <w:rsid w:val="007C5A09"/>
    <w:rsid w:val="007C623A"/>
    <w:rsid w:val="007C68F6"/>
    <w:rsid w:val="007C6C48"/>
    <w:rsid w:val="007D0876"/>
    <w:rsid w:val="007D26E9"/>
    <w:rsid w:val="007D271B"/>
    <w:rsid w:val="007D2D28"/>
    <w:rsid w:val="007D3828"/>
    <w:rsid w:val="007D3B7D"/>
    <w:rsid w:val="007D4090"/>
    <w:rsid w:val="007D430F"/>
    <w:rsid w:val="007D4A51"/>
    <w:rsid w:val="007D4C20"/>
    <w:rsid w:val="007D578F"/>
    <w:rsid w:val="007D692E"/>
    <w:rsid w:val="007D6C70"/>
    <w:rsid w:val="007D7CB8"/>
    <w:rsid w:val="007E0E89"/>
    <w:rsid w:val="007E1A36"/>
    <w:rsid w:val="007E2464"/>
    <w:rsid w:val="007E2DD9"/>
    <w:rsid w:val="007E33F6"/>
    <w:rsid w:val="007E3D48"/>
    <w:rsid w:val="007E4819"/>
    <w:rsid w:val="007E4988"/>
    <w:rsid w:val="007E4B2E"/>
    <w:rsid w:val="007E5417"/>
    <w:rsid w:val="007E5A43"/>
    <w:rsid w:val="007E72F0"/>
    <w:rsid w:val="007E731B"/>
    <w:rsid w:val="007E7804"/>
    <w:rsid w:val="007E7EA4"/>
    <w:rsid w:val="007F0231"/>
    <w:rsid w:val="007F0917"/>
    <w:rsid w:val="007F0BEE"/>
    <w:rsid w:val="007F0DFE"/>
    <w:rsid w:val="007F0E89"/>
    <w:rsid w:val="007F1588"/>
    <w:rsid w:val="007F1AF6"/>
    <w:rsid w:val="007F3002"/>
    <w:rsid w:val="007F3122"/>
    <w:rsid w:val="007F34C6"/>
    <w:rsid w:val="007F4557"/>
    <w:rsid w:val="007F4C34"/>
    <w:rsid w:val="007F4D0C"/>
    <w:rsid w:val="007F59CE"/>
    <w:rsid w:val="00800054"/>
    <w:rsid w:val="0080025F"/>
    <w:rsid w:val="00800F53"/>
    <w:rsid w:val="00802407"/>
    <w:rsid w:val="00802AB8"/>
    <w:rsid w:val="0080387C"/>
    <w:rsid w:val="008044B3"/>
    <w:rsid w:val="0080488B"/>
    <w:rsid w:val="0080548B"/>
    <w:rsid w:val="00806D8F"/>
    <w:rsid w:val="008070BD"/>
    <w:rsid w:val="0080729B"/>
    <w:rsid w:val="00807C49"/>
    <w:rsid w:val="00810719"/>
    <w:rsid w:val="00811B9E"/>
    <w:rsid w:val="0081218E"/>
    <w:rsid w:val="008129E7"/>
    <w:rsid w:val="00812B45"/>
    <w:rsid w:val="00812C8D"/>
    <w:rsid w:val="00812CAB"/>
    <w:rsid w:val="00813278"/>
    <w:rsid w:val="0081615D"/>
    <w:rsid w:val="0081667A"/>
    <w:rsid w:val="00816F49"/>
    <w:rsid w:val="00817B0E"/>
    <w:rsid w:val="00817BDF"/>
    <w:rsid w:val="00817CCA"/>
    <w:rsid w:val="00817DCD"/>
    <w:rsid w:val="0082047D"/>
    <w:rsid w:val="00820AFD"/>
    <w:rsid w:val="0082149D"/>
    <w:rsid w:val="008229F6"/>
    <w:rsid w:val="008245D4"/>
    <w:rsid w:val="008256F8"/>
    <w:rsid w:val="00825D4B"/>
    <w:rsid w:val="00825FC1"/>
    <w:rsid w:val="008263F7"/>
    <w:rsid w:val="00826449"/>
    <w:rsid w:val="008269D7"/>
    <w:rsid w:val="00826F42"/>
    <w:rsid w:val="008271DA"/>
    <w:rsid w:val="00830637"/>
    <w:rsid w:val="00831449"/>
    <w:rsid w:val="0083153A"/>
    <w:rsid w:val="00831D22"/>
    <w:rsid w:val="0083205C"/>
    <w:rsid w:val="0083233D"/>
    <w:rsid w:val="00832720"/>
    <w:rsid w:val="008328C3"/>
    <w:rsid w:val="00833003"/>
    <w:rsid w:val="008331F8"/>
    <w:rsid w:val="0083350C"/>
    <w:rsid w:val="00833CA6"/>
    <w:rsid w:val="00834810"/>
    <w:rsid w:val="00834A71"/>
    <w:rsid w:val="00835D3E"/>
    <w:rsid w:val="008369F3"/>
    <w:rsid w:val="00837DD6"/>
    <w:rsid w:val="0084030D"/>
    <w:rsid w:val="00840D5D"/>
    <w:rsid w:val="00840DB0"/>
    <w:rsid w:val="008414BC"/>
    <w:rsid w:val="0084151D"/>
    <w:rsid w:val="008418D6"/>
    <w:rsid w:val="00843050"/>
    <w:rsid w:val="008435D5"/>
    <w:rsid w:val="00843B1A"/>
    <w:rsid w:val="00844D0B"/>
    <w:rsid w:val="00845034"/>
    <w:rsid w:val="0084642C"/>
    <w:rsid w:val="0084695A"/>
    <w:rsid w:val="00846B62"/>
    <w:rsid w:val="00847445"/>
    <w:rsid w:val="0084746D"/>
    <w:rsid w:val="0084796F"/>
    <w:rsid w:val="00847E4B"/>
    <w:rsid w:val="008502F7"/>
    <w:rsid w:val="00850477"/>
    <w:rsid w:val="0085053E"/>
    <w:rsid w:val="00851788"/>
    <w:rsid w:val="00852171"/>
    <w:rsid w:val="008522F8"/>
    <w:rsid w:val="00853A92"/>
    <w:rsid w:val="00853BA6"/>
    <w:rsid w:val="00853D31"/>
    <w:rsid w:val="00854033"/>
    <w:rsid w:val="00854582"/>
    <w:rsid w:val="00855062"/>
    <w:rsid w:val="00855721"/>
    <w:rsid w:val="008564F7"/>
    <w:rsid w:val="0085698E"/>
    <w:rsid w:val="00856CA6"/>
    <w:rsid w:val="00856E21"/>
    <w:rsid w:val="008574FE"/>
    <w:rsid w:val="00860639"/>
    <w:rsid w:val="00860D96"/>
    <w:rsid w:val="00860E40"/>
    <w:rsid w:val="008611D5"/>
    <w:rsid w:val="00861397"/>
    <w:rsid w:val="00862C4D"/>
    <w:rsid w:val="00863626"/>
    <w:rsid w:val="00863A04"/>
    <w:rsid w:val="00864498"/>
    <w:rsid w:val="00865FEE"/>
    <w:rsid w:val="00866398"/>
    <w:rsid w:val="00866610"/>
    <w:rsid w:val="00866908"/>
    <w:rsid w:val="00866F98"/>
    <w:rsid w:val="00867533"/>
    <w:rsid w:val="0087019B"/>
    <w:rsid w:val="008701F4"/>
    <w:rsid w:val="0087064C"/>
    <w:rsid w:val="00870B2A"/>
    <w:rsid w:val="0087110F"/>
    <w:rsid w:val="008717D5"/>
    <w:rsid w:val="00871DBF"/>
    <w:rsid w:val="00872C76"/>
    <w:rsid w:val="00873863"/>
    <w:rsid w:val="00873A3E"/>
    <w:rsid w:val="00873B33"/>
    <w:rsid w:val="008744A4"/>
    <w:rsid w:val="008748B3"/>
    <w:rsid w:val="008758F0"/>
    <w:rsid w:val="008776EB"/>
    <w:rsid w:val="008777CB"/>
    <w:rsid w:val="00877B99"/>
    <w:rsid w:val="00877EAC"/>
    <w:rsid w:val="00880292"/>
    <w:rsid w:val="00880D77"/>
    <w:rsid w:val="0088139E"/>
    <w:rsid w:val="008827F1"/>
    <w:rsid w:val="00882803"/>
    <w:rsid w:val="008835FD"/>
    <w:rsid w:val="008836E7"/>
    <w:rsid w:val="00883B42"/>
    <w:rsid w:val="00884EE2"/>
    <w:rsid w:val="008859FF"/>
    <w:rsid w:val="00885B10"/>
    <w:rsid w:val="00885C3C"/>
    <w:rsid w:val="00885D6A"/>
    <w:rsid w:val="00885F2E"/>
    <w:rsid w:val="0088618D"/>
    <w:rsid w:val="00886494"/>
    <w:rsid w:val="008866F9"/>
    <w:rsid w:val="0088699C"/>
    <w:rsid w:val="00886F9A"/>
    <w:rsid w:val="00887693"/>
    <w:rsid w:val="00887DD8"/>
    <w:rsid w:val="00887E91"/>
    <w:rsid w:val="0089018C"/>
    <w:rsid w:val="00890E84"/>
    <w:rsid w:val="00891115"/>
    <w:rsid w:val="00891C14"/>
    <w:rsid w:val="008927B5"/>
    <w:rsid w:val="00892A61"/>
    <w:rsid w:val="00892A95"/>
    <w:rsid w:val="00893747"/>
    <w:rsid w:val="00893791"/>
    <w:rsid w:val="00893D96"/>
    <w:rsid w:val="00893EE4"/>
    <w:rsid w:val="00894318"/>
    <w:rsid w:val="00895A51"/>
    <w:rsid w:val="00895DBE"/>
    <w:rsid w:val="00896016"/>
    <w:rsid w:val="0089611E"/>
    <w:rsid w:val="008969AF"/>
    <w:rsid w:val="00896B19"/>
    <w:rsid w:val="008A04CE"/>
    <w:rsid w:val="008A077C"/>
    <w:rsid w:val="008A09C4"/>
    <w:rsid w:val="008A1644"/>
    <w:rsid w:val="008A1C85"/>
    <w:rsid w:val="008A2A5C"/>
    <w:rsid w:val="008A30BC"/>
    <w:rsid w:val="008A3292"/>
    <w:rsid w:val="008A3312"/>
    <w:rsid w:val="008A3DC4"/>
    <w:rsid w:val="008A4431"/>
    <w:rsid w:val="008A4F25"/>
    <w:rsid w:val="008A51EF"/>
    <w:rsid w:val="008A6B40"/>
    <w:rsid w:val="008A7292"/>
    <w:rsid w:val="008A7396"/>
    <w:rsid w:val="008A7785"/>
    <w:rsid w:val="008B05D0"/>
    <w:rsid w:val="008B25B3"/>
    <w:rsid w:val="008B284F"/>
    <w:rsid w:val="008B2A83"/>
    <w:rsid w:val="008B2DE1"/>
    <w:rsid w:val="008B4E69"/>
    <w:rsid w:val="008B6196"/>
    <w:rsid w:val="008B67FA"/>
    <w:rsid w:val="008B6860"/>
    <w:rsid w:val="008B7063"/>
    <w:rsid w:val="008B7186"/>
    <w:rsid w:val="008B7393"/>
    <w:rsid w:val="008C0253"/>
    <w:rsid w:val="008C0827"/>
    <w:rsid w:val="008C0E8C"/>
    <w:rsid w:val="008C1955"/>
    <w:rsid w:val="008C1C36"/>
    <w:rsid w:val="008C27E8"/>
    <w:rsid w:val="008C2A43"/>
    <w:rsid w:val="008C3694"/>
    <w:rsid w:val="008C37AA"/>
    <w:rsid w:val="008C3DE1"/>
    <w:rsid w:val="008C4493"/>
    <w:rsid w:val="008C4D51"/>
    <w:rsid w:val="008C5F90"/>
    <w:rsid w:val="008C63CE"/>
    <w:rsid w:val="008C6413"/>
    <w:rsid w:val="008C6D73"/>
    <w:rsid w:val="008C7210"/>
    <w:rsid w:val="008C7432"/>
    <w:rsid w:val="008C787A"/>
    <w:rsid w:val="008C7A1A"/>
    <w:rsid w:val="008C7ECC"/>
    <w:rsid w:val="008D0152"/>
    <w:rsid w:val="008D0F7E"/>
    <w:rsid w:val="008D19F3"/>
    <w:rsid w:val="008D2825"/>
    <w:rsid w:val="008D4082"/>
    <w:rsid w:val="008D4501"/>
    <w:rsid w:val="008D4A8A"/>
    <w:rsid w:val="008D570F"/>
    <w:rsid w:val="008D5B6C"/>
    <w:rsid w:val="008D5FAF"/>
    <w:rsid w:val="008D640C"/>
    <w:rsid w:val="008D6A6C"/>
    <w:rsid w:val="008D6DF8"/>
    <w:rsid w:val="008D724A"/>
    <w:rsid w:val="008E0008"/>
    <w:rsid w:val="008E00B3"/>
    <w:rsid w:val="008E0F2C"/>
    <w:rsid w:val="008E1712"/>
    <w:rsid w:val="008E1D55"/>
    <w:rsid w:val="008E1E13"/>
    <w:rsid w:val="008E2730"/>
    <w:rsid w:val="008E279F"/>
    <w:rsid w:val="008E310A"/>
    <w:rsid w:val="008E3494"/>
    <w:rsid w:val="008E35AF"/>
    <w:rsid w:val="008E4EA0"/>
    <w:rsid w:val="008E5136"/>
    <w:rsid w:val="008E5300"/>
    <w:rsid w:val="008E5CDB"/>
    <w:rsid w:val="008E6DB1"/>
    <w:rsid w:val="008E7A2A"/>
    <w:rsid w:val="008E7B5A"/>
    <w:rsid w:val="008F02D9"/>
    <w:rsid w:val="008F143D"/>
    <w:rsid w:val="008F1456"/>
    <w:rsid w:val="008F15C8"/>
    <w:rsid w:val="008F1785"/>
    <w:rsid w:val="008F2A85"/>
    <w:rsid w:val="008F357A"/>
    <w:rsid w:val="008F43AA"/>
    <w:rsid w:val="008F5554"/>
    <w:rsid w:val="008F55E1"/>
    <w:rsid w:val="008F72FF"/>
    <w:rsid w:val="009001A6"/>
    <w:rsid w:val="0090071B"/>
    <w:rsid w:val="00900D26"/>
    <w:rsid w:val="00900D6D"/>
    <w:rsid w:val="00901BAA"/>
    <w:rsid w:val="00901E16"/>
    <w:rsid w:val="00901E9E"/>
    <w:rsid w:val="009026BC"/>
    <w:rsid w:val="0090353D"/>
    <w:rsid w:val="00903720"/>
    <w:rsid w:val="0090456E"/>
    <w:rsid w:val="009048FD"/>
    <w:rsid w:val="00906EA9"/>
    <w:rsid w:val="00906F23"/>
    <w:rsid w:val="00907010"/>
    <w:rsid w:val="00907C35"/>
    <w:rsid w:val="00910591"/>
    <w:rsid w:val="0091061B"/>
    <w:rsid w:val="0091139E"/>
    <w:rsid w:val="0091154B"/>
    <w:rsid w:val="00911683"/>
    <w:rsid w:val="00912671"/>
    <w:rsid w:val="00912851"/>
    <w:rsid w:val="00912A20"/>
    <w:rsid w:val="00912B13"/>
    <w:rsid w:val="00913C73"/>
    <w:rsid w:val="0091481D"/>
    <w:rsid w:val="0092051F"/>
    <w:rsid w:val="00920601"/>
    <w:rsid w:val="00920DAC"/>
    <w:rsid w:val="00921617"/>
    <w:rsid w:val="00921A4B"/>
    <w:rsid w:val="00921CDB"/>
    <w:rsid w:val="00921E53"/>
    <w:rsid w:val="00922562"/>
    <w:rsid w:val="009226F6"/>
    <w:rsid w:val="009233FD"/>
    <w:rsid w:val="00924029"/>
    <w:rsid w:val="00924194"/>
    <w:rsid w:val="0092454C"/>
    <w:rsid w:val="009251C5"/>
    <w:rsid w:val="009254B7"/>
    <w:rsid w:val="00927338"/>
    <w:rsid w:val="00927905"/>
    <w:rsid w:val="0093048E"/>
    <w:rsid w:val="00930623"/>
    <w:rsid w:val="009309CA"/>
    <w:rsid w:val="009318D8"/>
    <w:rsid w:val="00931C9E"/>
    <w:rsid w:val="00931D8E"/>
    <w:rsid w:val="0093227D"/>
    <w:rsid w:val="0093275D"/>
    <w:rsid w:val="00932C3D"/>
    <w:rsid w:val="00932D0D"/>
    <w:rsid w:val="00932E5B"/>
    <w:rsid w:val="009331C2"/>
    <w:rsid w:val="0093320C"/>
    <w:rsid w:val="00933467"/>
    <w:rsid w:val="00933C4F"/>
    <w:rsid w:val="009340F4"/>
    <w:rsid w:val="00934CED"/>
    <w:rsid w:val="00935B24"/>
    <w:rsid w:val="00936A99"/>
    <w:rsid w:val="00936E19"/>
    <w:rsid w:val="0093731F"/>
    <w:rsid w:val="0093787C"/>
    <w:rsid w:val="00937F4C"/>
    <w:rsid w:val="00937F58"/>
    <w:rsid w:val="00937FC9"/>
    <w:rsid w:val="00940987"/>
    <w:rsid w:val="00940D64"/>
    <w:rsid w:val="00942A87"/>
    <w:rsid w:val="00944180"/>
    <w:rsid w:val="009452A8"/>
    <w:rsid w:val="0094588C"/>
    <w:rsid w:val="009469B4"/>
    <w:rsid w:val="00946DA5"/>
    <w:rsid w:val="00947FD4"/>
    <w:rsid w:val="00950B66"/>
    <w:rsid w:val="009527B6"/>
    <w:rsid w:val="00952CF2"/>
    <w:rsid w:val="00953E3B"/>
    <w:rsid w:val="0095439E"/>
    <w:rsid w:val="00954EC9"/>
    <w:rsid w:val="00954F30"/>
    <w:rsid w:val="00956214"/>
    <w:rsid w:val="00956796"/>
    <w:rsid w:val="0095764D"/>
    <w:rsid w:val="00957674"/>
    <w:rsid w:val="00957D3B"/>
    <w:rsid w:val="009606AF"/>
    <w:rsid w:val="00960A28"/>
    <w:rsid w:val="00961132"/>
    <w:rsid w:val="00961D21"/>
    <w:rsid w:val="00961EA6"/>
    <w:rsid w:val="00961F18"/>
    <w:rsid w:val="0096285D"/>
    <w:rsid w:val="00962F5A"/>
    <w:rsid w:val="009638ED"/>
    <w:rsid w:val="00963A09"/>
    <w:rsid w:val="00963C84"/>
    <w:rsid w:val="009648D5"/>
    <w:rsid w:val="00964B62"/>
    <w:rsid w:val="00966E11"/>
    <w:rsid w:val="00966E34"/>
    <w:rsid w:val="00967AFF"/>
    <w:rsid w:val="009702B8"/>
    <w:rsid w:val="00970722"/>
    <w:rsid w:val="0097165F"/>
    <w:rsid w:val="00972B57"/>
    <w:rsid w:val="00972B86"/>
    <w:rsid w:val="00972F14"/>
    <w:rsid w:val="009730E5"/>
    <w:rsid w:val="009735D0"/>
    <w:rsid w:val="0097389C"/>
    <w:rsid w:val="00973B2D"/>
    <w:rsid w:val="00973E54"/>
    <w:rsid w:val="00973E68"/>
    <w:rsid w:val="00974613"/>
    <w:rsid w:val="0097530E"/>
    <w:rsid w:val="009753BE"/>
    <w:rsid w:val="0097683E"/>
    <w:rsid w:val="00976B85"/>
    <w:rsid w:val="00976CED"/>
    <w:rsid w:val="00977201"/>
    <w:rsid w:val="0097737C"/>
    <w:rsid w:val="009776D3"/>
    <w:rsid w:val="00980733"/>
    <w:rsid w:val="009807FB"/>
    <w:rsid w:val="00980EE4"/>
    <w:rsid w:val="00981803"/>
    <w:rsid w:val="00982A6E"/>
    <w:rsid w:val="0098472B"/>
    <w:rsid w:val="00984A40"/>
    <w:rsid w:val="009853B4"/>
    <w:rsid w:val="00986BA2"/>
    <w:rsid w:val="0098772C"/>
    <w:rsid w:val="0099185D"/>
    <w:rsid w:val="009918DD"/>
    <w:rsid w:val="00991C77"/>
    <w:rsid w:val="00993307"/>
    <w:rsid w:val="0099335F"/>
    <w:rsid w:val="00993C05"/>
    <w:rsid w:val="0099460D"/>
    <w:rsid w:val="00994E78"/>
    <w:rsid w:val="00996A92"/>
    <w:rsid w:val="00996BF7"/>
    <w:rsid w:val="00997BBA"/>
    <w:rsid w:val="00997D52"/>
    <w:rsid w:val="00997E95"/>
    <w:rsid w:val="009A07E3"/>
    <w:rsid w:val="009A1AE4"/>
    <w:rsid w:val="009A1C05"/>
    <w:rsid w:val="009A2055"/>
    <w:rsid w:val="009A2145"/>
    <w:rsid w:val="009A220C"/>
    <w:rsid w:val="009A24CC"/>
    <w:rsid w:val="009A2E22"/>
    <w:rsid w:val="009A322B"/>
    <w:rsid w:val="009A36EA"/>
    <w:rsid w:val="009A3FA8"/>
    <w:rsid w:val="009A5F4E"/>
    <w:rsid w:val="009A7334"/>
    <w:rsid w:val="009A7A92"/>
    <w:rsid w:val="009A7AB2"/>
    <w:rsid w:val="009B02BE"/>
    <w:rsid w:val="009B0594"/>
    <w:rsid w:val="009B0FA2"/>
    <w:rsid w:val="009B1580"/>
    <w:rsid w:val="009B1904"/>
    <w:rsid w:val="009B1A1E"/>
    <w:rsid w:val="009B211C"/>
    <w:rsid w:val="009B24FE"/>
    <w:rsid w:val="009B29F9"/>
    <w:rsid w:val="009B38FF"/>
    <w:rsid w:val="009B3BDE"/>
    <w:rsid w:val="009B4105"/>
    <w:rsid w:val="009B4387"/>
    <w:rsid w:val="009B4963"/>
    <w:rsid w:val="009B4BAE"/>
    <w:rsid w:val="009B4D0B"/>
    <w:rsid w:val="009B5B31"/>
    <w:rsid w:val="009B61F6"/>
    <w:rsid w:val="009B6576"/>
    <w:rsid w:val="009C030C"/>
    <w:rsid w:val="009C0417"/>
    <w:rsid w:val="009C0C24"/>
    <w:rsid w:val="009C0F6C"/>
    <w:rsid w:val="009C148E"/>
    <w:rsid w:val="009C280C"/>
    <w:rsid w:val="009C2AA5"/>
    <w:rsid w:val="009C4DCC"/>
    <w:rsid w:val="009C67B7"/>
    <w:rsid w:val="009C7164"/>
    <w:rsid w:val="009C775C"/>
    <w:rsid w:val="009C7AB7"/>
    <w:rsid w:val="009D08B9"/>
    <w:rsid w:val="009D0BE3"/>
    <w:rsid w:val="009D1E89"/>
    <w:rsid w:val="009D1FD5"/>
    <w:rsid w:val="009D269B"/>
    <w:rsid w:val="009D2A00"/>
    <w:rsid w:val="009D3400"/>
    <w:rsid w:val="009D382D"/>
    <w:rsid w:val="009D394B"/>
    <w:rsid w:val="009D3DF6"/>
    <w:rsid w:val="009D53B4"/>
    <w:rsid w:val="009D5578"/>
    <w:rsid w:val="009D5D4C"/>
    <w:rsid w:val="009D5D6A"/>
    <w:rsid w:val="009D629E"/>
    <w:rsid w:val="009D64DF"/>
    <w:rsid w:val="009D654F"/>
    <w:rsid w:val="009D67E8"/>
    <w:rsid w:val="009D6996"/>
    <w:rsid w:val="009D6B9D"/>
    <w:rsid w:val="009D6CE4"/>
    <w:rsid w:val="009D75D4"/>
    <w:rsid w:val="009D781E"/>
    <w:rsid w:val="009D7A67"/>
    <w:rsid w:val="009D7B76"/>
    <w:rsid w:val="009D7E43"/>
    <w:rsid w:val="009E01D2"/>
    <w:rsid w:val="009E0F03"/>
    <w:rsid w:val="009E1C66"/>
    <w:rsid w:val="009E27E0"/>
    <w:rsid w:val="009E2D60"/>
    <w:rsid w:val="009E3219"/>
    <w:rsid w:val="009E3768"/>
    <w:rsid w:val="009E4CF4"/>
    <w:rsid w:val="009E53E6"/>
    <w:rsid w:val="009E5AFA"/>
    <w:rsid w:val="009E5E2C"/>
    <w:rsid w:val="009E68FC"/>
    <w:rsid w:val="009E6B7E"/>
    <w:rsid w:val="009F05D1"/>
    <w:rsid w:val="009F154B"/>
    <w:rsid w:val="009F1F36"/>
    <w:rsid w:val="009F2D47"/>
    <w:rsid w:val="009F3270"/>
    <w:rsid w:val="009F3421"/>
    <w:rsid w:val="009F3737"/>
    <w:rsid w:val="009F3D3C"/>
    <w:rsid w:val="009F5CAD"/>
    <w:rsid w:val="009F6716"/>
    <w:rsid w:val="009F75F9"/>
    <w:rsid w:val="00A003AF"/>
    <w:rsid w:val="00A01040"/>
    <w:rsid w:val="00A02F76"/>
    <w:rsid w:val="00A03289"/>
    <w:rsid w:val="00A047FB"/>
    <w:rsid w:val="00A0529A"/>
    <w:rsid w:val="00A052A4"/>
    <w:rsid w:val="00A05DE9"/>
    <w:rsid w:val="00A1039C"/>
    <w:rsid w:val="00A103DC"/>
    <w:rsid w:val="00A10A3D"/>
    <w:rsid w:val="00A11245"/>
    <w:rsid w:val="00A1155B"/>
    <w:rsid w:val="00A1168B"/>
    <w:rsid w:val="00A120BB"/>
    <w:rsid w:val="00A12C10"/>
    <w:rsid w:val="00A13064"/>
    <w:rsid w:val="00A13B7D"/>
    <w:rsid w:val="00A13E73"/>
    <w:rsid w:val="00A14D37"/>
    <w:rsid w:val="00A156D4"/>
    <w:rsid w:val="00A163E0"/>
    <w:rsid w:val="00A164B8"/>
    <w:rsid w:val="00A17331"/>
    <w:rsid w:val="00A20036"/>
    <w:rsid w:val="00A20277"/>
    <w:rsid w:val="00A20588"/>
    <w:rsid w:val="00A20624"/>
    <w:rsid w:val="00A20771"/>
    <w:rsid w:val="00A219AF"/>
    <w:rsid w:val="00A22625"/>
    <w:rsid w:val="00A22DA8"/>
    <w:rsid w:val="00A239C2"/>
    <w:rsid w:val="00A23AE3"/>
    <w:rsid w:val="00A24555"/>
    <w:rsid w:val="00A24649"/>
    <w:rsid w:val="00A24B44"/>
    <w:rsid w:val="00A24EC5"/>
    <w:rsid w:val="00A254F4"/>
    <w:rsid w:val="00A25797"/>
    <w:rsid w:val="00A25D78"/>
    <w:rsid w:val="00A26A5F"/>
    <w:rsid w:val="00A26F34"/>
    <w:rsid w:val="00A26F67"/>
    <w:rsid w:val="00A27157"/>
    <w:rsid w:val="00A272D0"/>
    <w:rsid w:val="00A27C21"/>
    <w:rsid w:val="00A27FBA"/>
    <w:rsid w:val="00A31200"/>
    <w:rsid w:val="00A3128C"/>
    <w:rsid w:val="00A31EB9"/>
    <w:rsid w:val="00A3258F"/>
    <w:rsid w:val="00A32629"/>
    <w:rsid w:val="00A328F9"/>
    <w:rsid w:val="00A32F49"/>
    <w:rsid w:val="00A334CE"/>
    <w:rsid w:val="00A33BC6"/>
    <w:rsid w:val="00A356D0"/>
    <w:rsid w:val="00A3600F"/>
    <w:rsid w:val="00A368DC"/>
    <w:rsid w:val="00A3709E"/>
    <w:rsid w:val="00A40073"/>
    <w:rsid w:val="00A40159"/>
    <w:rsid w:val="00A408A1"/>
    <w:rsid w:val="00A40E1D"/>
    <w:rsid w:val="00A41EF3"/>
    <w:rsid w:val="00A42413"/>
    <w:rsid w:val="00A42723"/>
    <w:rsid w:val="00A433C6"/>
    <w:rsid w:val="00A444C0"/>
    <w:rsid w:val="00A46190"/>
    <w:rsid w:val="00A4648B"/>
    <w:rsid w:val="00A468E7"/>
    <w:rsid w:val="00A46F8F"/>
    <w:rsid w:val="00A4703B"/>
    <w:rsid w:val="00A47190"/>
    <w:rsid w:val="00A47689"/>
    <w:rsid w:val="00A4785C"/>
    <w:rsid w:val="00A502E7"/>
    <w:rsid w:val="00A505A8"/>
    <w:rsid w:val="00A512C1"/>
    <w:rsid w:val="00A52178"/>
    <w:rsid w:val="00A5293A"/>
    <w:rsid w:val="00A53836"/>
    <w:rsid w:val="00A53D2E"/>
    <w:rsid w:val="00A53F1E"/>
    <w:rsid w:val="00A542FD"/>
    <w:rsid w:val="00A55395"/>
    <w:rsid w:val="00A55B51"/>
    <w:rsid w:val="00A56772"/>
    <w:rsid w:val="00A56A94"/>
    <w:rsid w:val="00A57AFB"/>
    <w:rsid w:val="00A57BA0"/>
    <w:rsid w:val="00A603D0"/>
    <w:rsid w:val="00A605B5"/>
    <w:rsid w:val="00A606FA"/>
    <w:rsid w:val="00A60799"/>
    <w:rsid w:val="00A61CA0"/>
    <w:rsid w:val="00A61EA2"/>
    <w:rsid w:val="00A61FBA"/>
    <w:rsid w:val="00A620A4"/>
    <w:rsid w:val="00A62481"/>
    <w:rsid w:val="00A62A23"/>
    <w:rsid w:val="00A62BF2"/>
    <w:rsid w:val="00A6323A"/>
    <w:rsid w:val="00A63817"/>
    <w:rsid w:val="00A64BD0"/>
    <w:rsid w:val="00A658A8"/>
    <w:rsid w:val="00A65B12"/>
    <w:rsid w:val="00A66404"/>
    <w:rsid w:val="00A665F0"/>
    <w:rsid w:val="00A67B5E"/>
    <w:rsid w:val="00A70077"/>
    <w:rsid w:val="00A704AE"/>
    <w:rsid w:val="00A70EBA"/>
    <w:rsid w:val="00A714D1"/>
    <w:rsid w:val="00A7212E"/>
    <w:rsid w:val="00A7224F"/>
    <w:rsid w:val="00A73527"/>
    <w:rsid w:val="00A73874"/>
    <w:rsid w:val="00A7393A"/>
    <w:rsid w:val="00A73BEB"/>
    <w:rsid w:val="00A73E1E"/>
    <w:rsid w:val="00A7471D"/>
    <w:rsid w:val="00A7538B"/>
    <w:rsid w:val="00A75F8A"/>
    <w:rsid w:val="00A77EEC"/>
    <w:rsid w:val="00A81FAB"/>
    <w:rsid w:val="00A823E5"/>
    <w:rsid w:val="00A82ABC"/>
    <w:rsid w:val="00A833E7"/>
    <w:rsid w:val="00A83675"/>
    <w:rsid w:val="00A83A25"/>
    <w:rsid w:val="00A83BBA"/>
    <w:rsid w:val="00A85239"/>
    <w:rsid w:val="00A853B9"/>
    <w:rsid w:val="00A853E6"/>
    <w:rsid w:val="00A861FF"/>
    <w:rsid w:val="00A86B4E"/>
    <w:rsid w:val="00A86EE1"/>
    <w:rsid w:val="00A87210"/>
    <w:rsid w:val="00A8732B"/>
    <w:rsid w:val="00A8744B"/>
    <w:rsid w:val="00A874BB"/>
    <w:rsid w:val="00A87D7B"/>
    <w:rsid w:val="00A9150B"/>
    <w:rsid w:val="00A917CB"/>
    <w:rsid w:val="00A918C6"/>
    <w:rsid w:val="00A91C2F"/>
    <w:rsid w:val="00A921A6"/>
    <w:rsid w:val="00A9231E"/>
    <w:rsid w:val="00A92B8A"/>
    <w:rsid w:val="00A93C8D"/>
    <w:rsid w:val="00A94F08"/>
    <w:rsid w:val="00A95B78"/>
    <w:rsid w:val="00A96EE5"/>
    <w:rsid w:val="00A973B0"/>
    <w:rsid w:val="00A978FF"/>
    <w:rsid w:val="00A97AE5"/>
    <w:rsid w:val="00AA003E"/>
    <w:rsid w:val="00AA0733"/>
    <w:rsid w:val="00AA4707"/>
    <w:rsid w:val="00AA4D35"/>
    <w:rsid w:val="00AA4E3C"/>
    <w:rsid w:val="00AA5442"/>
    <w:rsid w:val="00AA5701"/>
    <w:rsid w:val="00AA6739"/>
    <w:rsid w:val="00AA709F"/>
    <w:rsid w:val="00AA7B8D"/>
    <w:rsid w:val="00AB0218"/>
    <w:rsid w:val="00AB075B"/>
    <w:rsid w:val="00AB0C14"/>
    <w:rsid w:val="00AB0DE8"/>
    <w:rsid w:val="00AB1936"/>
    <w:rsid w:val="00AB1BA4"/>
    <w:rsid w:val="00AB2CF9"/>
    <w:rsid w:val="00AB4532"/>
    <w:rsid w:val="00AB480C"/>
    <w:rsid w:val="00AB4BFA"/>
    <w:rsid w:val="00AB4DE9"/>
    <w:rsid w:val="00AB5730"/>
    <w:rsid w:val="00AB5B93"/>
    <w:rsid w:val="00AB5E9B"/>
    <w:rsid w:val="00AB6030"/>
    <w:rsid w:val="00AC01DA"/>
    <w:rsid w:val="00AC1D6B"/>
    <w:rsid w:val="00AC2239"/>
    <w:rsid w:val="00AC2630"/>
    <w:rsid w:val="00AC2A96"/>
    <w:rsid w:val="00AC34F6"/>
    <w:rsid w:val="00AC3A71"/>
    <w:rsid w:val="00AC3C09"/>
    <w:rsid w:val="00AC4082"/>
    <w:rsid w:val="00AC62FA"/>
    <w:rsid w:val="00AC63EE"/>
    <w:rsid w:val="00AC6837"/>
    <w:rsid w:val="00AC7662"/>
    <w:rsid w:val="00AC776E"/>
    <w:rsid w:val="00AD0205"/>
    <w:rsid w:val="00AD21CE"/>
    <w:rsid w:val="00AD2CFB"/>
    <w:rsid w:val="00AD31B1"/>
    <w:rsid w:val="00AD374B"/>
    <w:rsid w:val="00AD3C89"/>
    <w:rsid w:val="00AD3D08"/>
    <w:rsid w:val="00AD450E"/>
    <w:rsid w:val="00AD57EF"/>
    <w:rsid w:val="00AD62D1"/>
    <w:rsid w:val="00AD65D3"/>
    <w:rsid w:val="00AD6A8F"/>
    <w:rsid w:val="00AD70B3"/>
    <w:rsid w:val="00AD70F3"/>
    <w:rsid w:val="00AD7182"/>
    <w:rsid w:val="00AD73CA"/>
    <w:rsid w:val="00AD7479"/>
    <w:rsid w:val="00AE0F66"/>
    <w:rsid w:val="00AE1266"/>
    <w:rsid w:val="00AE1B12"/>
    <w:rsid w:val="00AE39B6"/>
    <w:rsid w:val="00AE48B1"/>
    <w:rsid w:val="00AE48C2"/>
    <w:rsid w:val="00AE4E17"/>
    <w:rsid w:val="00AE64A6"/>
    <w:rsid w:val="00AE688B"/>
    <w:rsid w:val="00AE775C"/>
    <w:rsid w:val="00AF05EE"/>
    <w:rsid w:val="00AF0BA0"/>
    <w:rsid w:val="00AF0E66"/>
    <w:rsid w:val="00AF1344"/>
    <w:rsid w:val="00AF169F"/>
    <w:rsid w:val="00AF17DF"/>
    <w:rsid w:val="00AF2993"/>
    <w:rsid w:val="00AF2AF8"/>
    <w:rsid w:val="00AF330C"/>
    <w:rsid w:val="00AF33AC"/>
    <w:rsid w:val="00AF3A50"/>
    <w:rsid w:val="00AF4D37"/>
    <w:rsid w:val="00AF53F4"/>
    <w:rsid w:val="00AF5DB5"/>
    <w:rsid w:val="00AF61C3"/>
    <w:rsid w:val="00AF621A"/>
    <w:rsid w:val="00AF69AC"/>
    <w:rsid w:val="00AF74B7"/>
    <w:rsid w:val="00AF7703"/>
    <w:rsid w:val="00AF7ADA"/>
    <w:rsid w:val="00B00499"/>
    <w:rsid w:val="00B018B1"/>
    <w:rsid w:val="00B02F8D"/>
    <w:rsid w:val="00B0323A"/>
    <w:rsid w:val="00B04408"/>
    <w:rsid w:val="00B04443"/>
    <w:rsid w:val="00B0478C"/>
    <w:rsid w:val="00B0580E"/>
    <w:rsid w:val="00B05D59"/>
    <w:rsid w:val="00B063EB"/>
    <w:rsid w:val="00B0674F"/>
    <w:rsid w:val="00B0688F"/>
    <w:rsid w:val="00B06C3B"/>
    <w:rsid w:val="00B10462"/>
    <w:rsid w:val="00B10DCF"/>
    <w:rsid w:val="00B11D6F"/>
    <w:rsid w:val="00B121A6"/>
    <w:rsid w:val="00B141F7"/>
    <w:rsid w:val="00B1444C"/>
    <w:rsid w:val="00B1447B"/>
    <w:rsid w:val="00B14E73"/>
    <w:rsid w:val="00B168A9"/>
    <w:rsid w:val="00B16A08"/>
    <w:rsid w:val="00B16F5D"/>
    <w:rsid w:val="00B17DD6"/>
    <w:rsid w:val="00B207A6"/>
    <w:rsid w:val="00B2297A"/>
    <w:rsid w:val="00B22AB7"/>
    <w:rsid w:val="00B22B5A"/>
    <w:rsid w:val="00B22F4E"/>
    <w:rsid w:val="00B246FF"/>
    <w:rsid w:val="00B247B2"/>
    <w:rsid w:val="00B247D5"/>
    <w:rsid w:val="00B248A7"/>
    <w:rsid w:val="00B25CE0"/>
    <w:rsid w:val="00B25FA8"/>
    <w:rsid w:val="00B265AF"/>
    <w:rsid w:val="00B272CA"/>
    <w:rsid w:val="00B276D9"/>
    <w:rsid w:val="00B277DF"/>
    <w:rsid w:val="00B30038"/>
    <w:rsid w:val="00B307A2"/>
    <w:rsid w:val="00B310BE"/>
    <w:rsid w:val="00B312E4"/>
    <w:rsid w:val="00B3294A"/>
    <w:rsid w:val="00B334BB"/>
    <w:rsid w:val="00B34676"/>
    <w:rsid w:val="00B346F0"/>
    <w:rsid w:val="00B353FE"/>
    <w:rsid w:val="00B360BE"/>
    <w:rsid w:val="00B36672"/>
    <w:rsid w:val="00B375DE"/>
    <w:rsid w:val="00B37AE3"/>
    <w:rsid w:val="00B4003E"/>
    <w:rsid w:val="00B40365"/>
    <w:rsid w:val="00B403C4"/>
    <w:rsid w:val="00B40996"/>
    <w:rsid w:val="00B41F22"/>
    <w:rsid w:val="00B41FA1"/>
    <w:rsid w:val="00B41FC5"/>
    <w:rsid w:val="00B42D80"/>
    <w:rsid w:val="00B43235"/>
    <w:rsid w:val="00B43EBC"/>
    <w:rsid w:val="00B444F7"/>
    <w:rsid w:val="00B463AF"/>
    <w:rsid w:val="00B465C1"/>
    <w:rsid w:val="00B47035"/>
    <w:rsid w:val="00B47605"/>
    <w:rsid w:val="00B50DB7"/>
    <w:rsid w:val="00B50E82"/>
    <w:rsid w:val="00B51891"/>
    <w:rsid w:val="00B519BA"/>
    <w:rsid w:val="00B51A41"/>
    <w:rsid w:val="00B51F29"/>
    <w:rsid w:val="00B53815"/>
    <w:rsid w:val="00B541B5"/>
    <w:rsid w:val="00B541EB"/>
    <w:rsid w:val="00B54781"/>
    <w:rsid w:val="00B5490A"/>
    <w:rsid w:val="00B5589F"/>
    <w:rsid w:val="00B56289"/>
    <w:rsid w:val="00B56FD2"/>
    <w:rsid w:val="00B5750C"/>
    <w:rsid w:val="00B60698"/>
    <w:rsid w:val="00B606EB"/>
    <w:rsid w:val="00B6139A"/>
    <w:rsid w:val="00B614AF"/>
    <w:rsid w:val="00B615E5"/>
    <w:rsid w:val="00B617E9"/>
    <w:rsid w:val="00B61945"/>
    <w:rsid w:val="00B61CEF"/>
    <w:rsid w:val="00B623B3"/>
    <w:rsid w:val="00B6240C"/>
    <w:rsid w:val="00B6247B"/>
    <w:rsid w:val="00B62BD8"/>
    <w:rsid w:val="00B62CA9"/>
    <w:rsid w:val="00B62EE2"/>
    <w:rsid w:val="00B62EF6"/>
    <w:rsid w:val="00B63683"/>
    <w:rsid w:val="00B63810"/>
    <w:rsid w:val="00B64249"/>
    <w:rsid w:val="00B64443"/>
    <w:rsid w:val="00B64AD2"/>
    <w:rsid w:val="00B659FD"/>
    <w:rsid w:val="00B65D9F"/>
    <w:rsid w:val="00B65F6A"/>
    <w:rsid w:val="00B65F71"/>
    <w:rsid w:val="00B6630F"/>
    <w:rsid w:val="00B702B1"/>
    <w:rsid w:val="00B703A5"/>
    <w:rsid w:val="00B721DC"/>
    <w:rsid w:val="00B72530"/>
    <w:rsid w:val="00B73728"/>
    <w:rsid w:val="00B741B2"/>
    <w:rsid w:val="00B74492"/>
    <w:rsid w:val="00B74799"/>
    <w:rsid w:val="00B74D01"/>
    <w:rsid w:val="00B750F5"/>
    <w:rsid w:val="00B768D9"/>
    <w:rsid w:val="00B76974"/>
    <w:rsid w:val="00B77CC0"/>
    <w:rsid w:val="00B803AA"/>
    <w:rsid w:val="00B80665"/>
    <w:rsid w:val="00B81602"/>
    <w:rsid w:val="00B81C1B"/>
    <w:rsid w:val="00B82118"/>
    <w:rsid w:val="00B8270A"/>
    <w:rsid w:val="00B827D2"/>
    <w:rsid w:val="00B82AA5"/>
    <w:rsid w:val="00B84347"/>
    <w:rsid w:val="00B84681"/>
    <w:rsid w:val="00B84A2C"/>
    <w:rsid w:val="00B84C46"/>
    <w:rsid w:val="00B85625"/>
    <w:rsid w:val="00B858B9"/>
    <w:rsid w:val="00B85AE4"/>
    <w:rsid w:val="00B85C8B"/>
    <w:rsid w:val="00B86075"/>
    <w:rsid w:val="00B8682E"/>
    <w:rsid w:val="00B86A11"/>
    <w:rsid w:val="00B87040"/>
    <w:rsid w:val="00B876E8"/>
    <w:rsid w:val="00B9063F"/>
    <w:rsid w:val="00B90CFC"/>
    <w:rsid w:val="00B90F53"/>
    <w:rsid w:val="00B91034"/>
    <w:rsid w:val="00B91198"/>
    <w:rsid w:val="00B9125D"/>
    <w:rsid w:val="00B92CE7"/>
    <w:rsid w:val="00B93A92"/>
    <w:rsid w:val="00B93E15"/>
    <w:rsid w:val="00B94F2D"/>
    <w:rsid w:val="00B953B8"/>
    <w:rsid w:val="00B95C3B"/>
    <w:rsid w:val="00B95F47"/>
    <w:rsid w:val="00B96BF2"/>
    <w:rsid w:val="00B97DC0"/>
    <w:rsid w:val="00BA1679"/>
    <w:rsid w:val="00BA1714"/>
    <w:rsid w:val="00BA2041"/>
    <w:rsid w:val="00BA2803"/>
    <w:rsid w:val="00BA2913"/>
    <w:rsid w:val="00BA3861"/>
    <w:rsid w:val="00BA4A9D"/>
    <w:rsid w:val="00BA54CE"/>
    <w:rsid w:val="00BA5504"/>
    <w:rsid w:val="00BA5A2E"/>
    <w:rsid w:val="00BA6209"/>
    <w:rsid w:val="00BA64CE"/>
    <w:rsid w:val="00BA6DB5"/>
    <w:rsid w:val="00BA6F04"/>
    <w:rsid w:val="00BA7150"/>
    <w:rsid w:val="00BA71EF"/>
    <w:rsid w:val="00BA73D7"/>
    <w:rsid w:val="00BB09FC"/>
    <w:rsid w:val="00BB0A5E"/>
    <w:rsid w:val="00BB0AEC"/>
    <w:rsid w:val="00BB15C2"/>
    <w:rsid w:val="00BB1785"/>
    <w:rsid w:val="00BB1885"/>
    <w:rsid w:val="00BB2096"/>
    <w:rsid w:val="00BB367D"/>
    <w:rsid w:val="00BB36A1"/>
    <w:rsid w:val="00BB3C52"/>
    <w:rsid w:val="00BB42D9"/>
    <w:rsid w:val="00BB4EDE"/>
    <w:rsid w:val="00BB5D62"/>
    <w:rsid w:val="00BB5F8D"/>
    <w:rsid w:val="00BB68F1"/>
    <w:rsid w:val="00BB690E"/>
    <w:rsid w:val="00BB7755"/>
    <w:rsid w:val="00BC014E"/>
    <w:rsid w:val="00BC03C9"/>
    <w:rsid w:val="00BC054F"/>
    <w:rsid w:val="00BC0768"/>
    <w:rsid w:val="00BC0838"/>
    <w:rsid w:val="00BC16AA"/>
    <w:rsid w:val="00BC16CD"/>
    <w:rsid w:val="00BC1D4E"/>
    <w:rsid w:val="00BC2115"/>
    <w:rsid w:val="00BC24F2"/>
    <w:rsid w:val="00BC32F2"/>
    <w:rsid w:val="00BC4502"/>
    <w:rsid w:val="00BC664D"/>
    <w:rsid w:val="00BC6FBB"/>
    <w:rsid w:val="00BC7068"/>
    <w:rsid w:val="00BC7CB7"/>
    <w:rsid w:val="00BC7FD2"/>
    <w:rsid w:val="00BD06BC"/>
    <w:rsid w:val="00BD0BAA"/>
    <w:rsid w:val="00BD12E9"/>
    <w:rsid w:val="00BD14A1"/>
    <w:rsid w:val="00BD2B90"/>
    <w:rsid w:val="00BD3237"/>
    <w:rsid w:val="00BD3609"/>
    <w:rsid w:val="00BD39C6"/>
    <w:rsid w:val="00BD3A6A"/>
    <w:rsid w:val="00BD3BAA"/>
    <w:rsid w:val="00BD5E78"/>
    <w:rsid w:val="00BD5F7E"/>
    <w:rsid w:val="00BD633D"/>
    <w:rsid w:val="00BD68AD"/>
    <w:rsid w:val="00BD7100"/>
    <w:rsid w:val="00BD7938"/>
    <w:rsid w:val="00BD7E29"/>
    <w:rsid w:val="00BE0C1B"/>
    <w:rsid w:val="00BE1072"/>
    <w:rsid w:val="00BE14A4"/>
    <w:rsid w:val="00BE1859"/>
    <w:rsid w:val="00BE1942"/>
    <w:rsid w:val="00BE1D61"/>
    <w:rsid w:val="00BE2284"/>
    <w:rsid w:val="00BE2DE8"/>
    <w:rsid w:val="00BE2E31"/>
    <w:rsid w:val="00BE3137"/>
    <w:rsid w:val="00BE36B8"/>
    <w:rsid w:val="00BE36BB"/>
    <w:rsid w:val="00BE3A86"/>
    <w:rsid w:val="00BE4124"/>
    <w:rsid w:val="00BE4148"/>
    <w:rsid w:val="00BE4603"/>
    <w:rsid w:val="00BE4747"/>
    <w:rsid w:val="00BE4DB9"/>
    <w:rsid w:val="00BE59CC"/>
    <w:rsid w:val="00BE5F10"/>
    <w:rsid w:val="00BE7B7F"/>
    <w:rsid w:val="00BE7FD3"/>
    <w:rsid w:val="00BF0842"/>
    <w:rsid w:val="00BF0BF5"/>
    <w:rsid w:val="00BF0FCC"/>
    <w:rsid w:val="00BF0FE0"/>
    <w:rsid w:val="00BF133C"/>
    <w:rsid w:val="00BF18CE"/>
    <w:rsid w:val="00BF201D"/>
    <w:rsid w:val="00BF2F98"/>
    <w:rsid w:val="00BF2FEB"/>
    <w:rsid w:val="00BF33D8"/>
    <w:rsid w:val="00BF4251"/>
    <w:rsid w:val="00BF490B"/>
    <w:rsid w:val="00BF4AD9"/>
    <w:rsid w:val="00BF4D4A"/>
    <w:rsid w:val="00BF56F1"/>
    <w:rsid w:val="00BF5904"/>
    <w:rsid w:val="00BF5D13"/>
    <w:rsid w:val="00BF5E67"/>
    <w:rsid w:val="00BF60F9"/>
    <w:rsid w:val="00BF6641"/>
    <w:rsid w:val="00BF6E15"/>
    <w:rsid w:val="00BF743D"/>
    <w:rsid w:val="00BF79E3"/>
    <w:rsid w:val="00C004F2"/>
    <w:rsid w:val="00C00EE1"/>
    <w:rsid w:val="00C00EF5"/>
    <w:rsid w:val="00C01BE9"/>
    <w:rsid w:val="00C01D85"/>
    <w:rsid w:val="00C02720"/>
    <w:rsid w:val="00C029DE"/>
    <w:rsid w:val="00C031C3"/>
    <w:rsid w:val="00C0382F"/>
    <w:rsid w:val="00C03BB5"/>
    <w:rsid w:val="00C0475E"/>
    <w:rsid w:val="00C04E01"/>
    <w:rsid w:val="00C06DCE"/>
    <w:rsid w:val="00C078F8"/>
    <w:rsid w:val="00C0790E"/>
    <w:rsid w:val="00C1047E"/>
    <w:rsid w:val="00C10731"/>
    <w:rsid w:val="00C1094E"/>
    <w:rsid w:val="00C11E52"/>
    <w:rsid w:val="00C120FE"/>
    <w:rsid w:val="00C12F46"/>
    <w:rsid w:val="00C14C51"/>
    <w:rsid w:val="00C14EB9"/>
    <w:rsid w:val="00C1512B"/>
    <w:rsid w:val="00C15435"/>
    <w:rsid w:val="00C163BF"/>
    <w:rsid w:val="00C1682F"/>
    <w:rsid w:val="00C17BFF"/>
    <w:rsid w:val="00C17FBC"/>
    <w:rsid w:val="00C203D7"/>
    <w:rsid w:val="00C20F16"/>
    <w:rsid w:val="00C2107F"/>
    <w:rsid w:val="00C21AF0"/>
    <w:rsid w:val="00C2214C"/>
    <w:rsid w:val="00C22D92"/>
    <w:rsid w:val="00C231EA"/>
    <w:rsid w:val="00C23864"/>
    <w:rsid w:val="00C23B64"/>
    <w:rsid w:val="00C23DBA"/>
    <w:rsid w:val="00C244F5"/>
    <w:rsid w:val="00C249CD"/>
    <w:rsid w:val="00C249D8"/>
    <w:rsid w:val="00C25CC1"/>
    <w:rsid w:val="00C266AD"/>
    <w:rsid w:val="00C26E46"/>
    <w:rsid w:val="00C270B9"/>
    <w:rsid w:val="00C27C68"/>
    <w:rsid w:val="00C27D45"/>
    <w:rsid w:val="00C308B5"/>
    <w:rsid w:val="00C30B57"/>
    <w:rsid w:val="00C313C3"/>
    <w:rsid w:val="00C31C35"/>
    <w:rsid w:val="00C31CE7"/>
    <w:rsid w:val="00C32B39"/>
    <w:rsid w:val="00C34A90"/>
    <w:rsid w:val="00C35193"/>
    <w:rsid w:val="00C3560F"/>
    <w:rsid w:val="00C35668"/>
    <w:rsid w:val="00C356A4"/>
    <w:rsid w:val="00C35951"/>
    <w:rsid w:val="00C35D59"/>
    <w:rsid w:val="00C35DFE"/>
    <w:rsid w:val="00C36234"/>
    <w:rsid w:val="00C366E1"/>
    <w:rsid w:val="00C369EF"/>
    <w:rsid w:val="00C4019F"/>
    <w:rsid w:val="00C4148D"/>
    <w:rsid w:val="00C416F8"/>
    <w:rsid w:val="00C418CD"/>
    <w:rsid w:val="00C41DD8"/>
    <w:rsid w:val="00C41E93"/>
    <w:rsid w:val="00C41FBA"/>
    <w:rsid w:val="00C42281"/>
    <w:rsid w:val="00C42B78"/>
    <w:rsid w:val="00C42C59"/>
    <w:rsid w:val="00C42EE7"/>
    <w:rsid w:val="00C43481"/>
    <w:rsid w:val="00C43B9C"/>
    <w:rsid w:val="00C44588"/>
    <w:rsid w:val="00C4464C"/>
    <w:rsid w:val="00C4472D"/>
    <w:rsid w:val="00C44D4C"/>
    <w:rsid w:val="00C4552C"/>
    <w:rsid w:val="00C456C2"/>
    <w:rsid w:val="00C460E6"/>
    <w:rsid w:val="00C47C75"/>
    <w:rsid w:val="00C501FC"/>
    <w:rsid w:val="00C50AD3"/>
    <w:rsid w:val="00C50D7E"/>
    <w:rsid w:val="00C521BD"/>
    <w:rsid w:val="00C5229E"/>
    <w:rsid w:val="00C52629"/>
    <w:rsid w:val="00C528D0"/>
    <w:rsid w:val="00C52F01"/>
    <w:rsid w:val="00C530F4"/>
    <w:rsid w:val="00C532A5"/>
    <w:rsid w:val="00C53528"/>
    <w:rsid w:val="00C53D5D"/>
    <w:rsid w:val="00C53E11"/>
    <w:rsid w:val="00C5540E"/>
    <w:rsid w:val="00C55EFB"/>
    <w:rsid w:val="00C566FD"/>
    <w:rsid w:val="00C5736C"/>
    <w:rsid w:val="00C60AB0"/>
    <w:rsid w:val="00C61318"/>
    <w:rsid w:val="00C620B0"/>
    <w:rsid w:val="00C62971"/>
    <w:rsid w:val="00C62988"/>
    <w:rsid w:val="00C62A08"/>
    <w:rsid w:val="00C62B4A"/>
    <w:rsid w:val="00C62BC1"/>
    <w:rsid w:val="00C62CDF"/>
    <w:rsid w:val="00C636D1"/>
    <w:rsid w:val="00C64534"/>
    <w:rsid w:val="00C64730"/>
    <w:rsid w:val="00C65074"/>
    <w:rsid w:val="00C6566A"/>
    <w:rsid w:val="00C65C45"/>
    <w:rsid w:val="00C6611C"/>
    <w:rsid w:val="00C66EE7"/>
    <w:rsid w:val="00C66F9F"/>
    <w:rsid w:val="00C671D8"/>
    <w:rsid w:val="00C6738D"/>
    <w:rsid w:val="00C67AC8"/>
    <w:rsid w:val="00C7145C"/>
    <w:rsid w:val="00C71BE7"/>
    <w:rsid w:val="00C7225A"/>
    <w:rsid w:val="00C72356"/>
    <w:rsid w:val="00C7239F"/>
    <w:rsid w:val="00C72959"/>
    <w:rsid w:val="00C72D0B"/>
    <w:rsid w:val="00C741F7"/>
    <w:rsid w:val="00C74387"/>
    <w:rsid w:val="00C75149"/>
    <w:rsid w:val="00C7571C"/>
    <w:rsid w:val="00C75E44"/>
    <w:rsid w:val="00C7709D"/>
    <w:rsid w:val="00C8034F"/>
    <w:rsid w:val="00C809CD"/>
    <w:rsid w:val="00C80EC5"/>
    <w:rsid w:val="00C813E8"/>
    <w:rsid w:val="00C8278B"/>
    <w:rsid w:val="00C82F76"/>
    <w:rsid w:val="00C8393B"/>
    <w:rsid w:val="00C84AD6"/>
    <w:rsid w:val="00C84FD0"/>
    <w:rsid w:val="00C85724"/>
    <w:rsid w:val="00C85F71"/>
    <w:rsid w:val="00C863AF"/>
    <w:rsid w:val="00C86838"/>
    <w:rsid w:val="00C87033"/>
    <w:rsid w:val="00C911E8"/>
    <w:rsid w:val="00C91D1A"/>
    <w:rsid w:val="00C91E63"/>
    <w:rsid w:val="00C94019"/>
    <w:rsid w:val="00C94C73"/>
    <w:rsid w:val="00C9544F"/>
    <w:rsid w:val="00C96278"/>
    <w:rsid w:val="00C96399"/>
    <w:rsid w:val="00C967DD"/>
    <w:rsid w:val="00C96E88"/>
    <w:rsid w:val="00C97B50"/>
    <w:rsid w:val="00CA0248"/>
    <w:rsid w:val="00CA05B2"/>
    <w:rsid w:val="00CA0714"/>
    <w:rsid w:val="00CA0B22"/>
    <w:rsid w:val="00CA0F3A"/>
    <w:rsid w:val="00CA1B10"/>
    <w:rsid w:val="00CA1BEC"/>
    <w:rsid w:val="00CA1DD5"/>
    <w:rsid w:val="00CA25C5"/>
    <w:rsid w:val="00CA2A17"/>
    <w:rsid w:val="00CA2B53"/>
    <w:rsid w:val="00CA2D48"/>
    <w:rsid w:val="00CA2E0E"/>
    <w:rsid w:val="00CA2FF7"/>
    <w:rsid w:val="00CA3028"/>
    <w:rsid w:val="00CA4CC3"/>
    <w:rsid w:val="00CA4F39"/>
    <w:rsid w:val="00CA5E4E"/>
    <w:rsid w:val="00CA6CB5"/>
    <w:rsid w:val="00CA6D24"/>
    <w:rsid w:val="00CA6EB3"/>
    <w:rsid w:val="00CA713F"/>
    <w:rsid w:val="00CA7339"/>
    <w:rsid w:val="00CA7509"/>
    <w:rsid w:val="00CB0490"/>
    <w:rsid w:val="00CB06D3"/>
    <w:rsid w:val="00CB0F67"/>
    <w:rsid w:val="00CB10CC"/>
    <w:rsid w:val="00CB1276"/>
    <w:rsid w:val="00CB194B"/>
    <w:rsid w:val="00CB23AF"/>
    <w:rsid w:val="00CB23BB"/>
    <w:rsid w:val="00CB2980"/>
    <w:rsid w:val="00CB3322"/>
    <w:rsid w:val="00CB34FC"/>
    <w:rsid w:val="00CB3669"/>
    <w:rsid w:val="00CB41C0"/>
    <w:rsid w:val="00CB4718"/>
    <w:rsid w:val="00CB4A01"/>
    <w:rsid w:val="00CB4C35"/>
    <w:rsid w:val="00CB4F6D"/>
    <w:rsid w:val="00CB562A"/>
    <w:rsid w:val="00CB56DF"/>
    <w:rsid w:val="00CB5A73"/>
    <w:rsid w:val="00CB6874"/>
    <w:rsid w:val="00CB7684"/>
    <w:rsid w:val="00CC01CD"/>
    <w:rsid w:val="00CC0B18"/>
    <w:rsid w:val="00CC114C"/>
    <w:rsid w:val="00CC2BA0"/>
    <w:rsid w:val="00CC321F"/>
    <w:rsid w:val="00CC3ED9"/>
    <w:rsid w:val="00CC4C44"/>
    <w:rsid w:val="00CC4EA4"/>
    <w:rsid w:val="00CC527F"/>
    <w:rsid w:val="00CC53CE"/>
    <w:rsid w:val="00CC6654"/>
    <w:rsid w:val="00CC6CDD"/>
    <w:rsid w:val="00CC76D0"/>
    <w:rsid w:val="00CC7CB0"/>
    <w:rsid w:val="00CC7D25"/>
    <w:rsid w:val="00CD03ED"/>
    <w:rsid w:val="00CD0578"/>
    <w:rsid w:val="00CD073F"/>
    <w:rsid w:val="00CD0982"/>
    <w:rsid w:val="00CD136B"/>
    <w:rsid w:val="00CD1AFF"/>
    <w:rsid w:val="00CD1DCE"/>
    <w:rsid w:val="00CD1E66"/>
    <w:rsid w:val="00CD2230"/>
    <w:rsid w:val="00CD224B"/>
    <w:rsid w:val="00CD2D9F"/>
    <w:rsid w:val="00CD326A"/>
    <w:rsid w:val="00CD369A"/>
    <w:rsid w:val="00CD404F"/>
    <w:rsid w:val="00CD44EB"/>
    <w:rsid w:val="00CD5A57"/>
    <w:rsid w:val="00CD6D48"/>
    <w:rsid w:val="00CD6DA8"/>
    <w:rsid w:val="00CD71D6"/>
    <w:rsid w:val="00CD7886"/>
    <w:rsid w:val="00CE02F6"/>
    <w:rsid w:val="00CE079C"/>
    <w:rsid w:val="00CE08AF"/>
    <w:rsid w:val="00CE13B0"/>
    <w:rsid w:val="00CE1F8F"/>
    <w:rsid w:val="00CE24BF"/>
    <w:rsid w:val="00CE360A"/>
    <w:rsid w:val="00CE39AA"/>
    <w:rsid w:val="00CE429A"/>
    <w:rsid w:val="00CE43AD"/>
    <w:rsid w:val="00CE447E"/>
    <w:rsid w:val="00CE4893"/>
    <w:rsid w:val="00CE4B1C"/>
    <w:rsid w:val="00CE584A"/>
    <w:rsid w:val="00CE635C"/>
    <w:rsid w:val="00CF1770"/>
    <w:rsid w:val="00CF1938"/>
    <w:rsid w:val="00CF2515"/>
    <w:rsid w:val="00CF2CEB"/>
    <w:rsid w:val="00CF31E6"/>
    <w:rsid w:val="00CF33DD"/>
    <w:rsid w:val="00CF43D7"/>
    <w:rsid w:val="00CF511F"/>
    <w:rsid w:val="00CF5F04"/>
    <w:rsid w:val="00CF73A5"/>
    <w:rsid w:val="00CF78D0"/>
    <w:rsid w:val="00D0014F"/>
    <w:rsid w:val="00D01503"/>
    <w:rsid w:val="00D01813"/>
    <w:rsid w:val="00D01EB3"/>
    <w:rsid w:val="00D01EDE"/>
    <w:rsid w:val="00D02AB1"/>
    <w:rsid w:val="00D034C9"/>
    <w:rsid w:val="00D0385C"/>
    <w:rsid w:val="00D04B2F"/>
    <w:rsid w:val="00D0577F"/>
    <w:rsid w:val="00D06825"/>
    <w:rsid w:val="00D075A6"/>
    <w:rsid w:val="00D11106"/>
    <w:rsid w:val="00D1171A"/>
    <w:rsid w:val="00D11B4D"/>
    <w:rsid w:val="00D11C9D"/>
    <w:rsid w:val="00D1265B"/>
    <w:rsid w:val="00D12694"/>
    <w:rsid w:val="00D12DA7"/>
    <w:rsid w:val="00D137F6"/>
    <w:rsid w:val="00D13A0B"/>
    <w:rsid w:val="00D13DF6"/>
    <w:rsid w:val="00D14356"/>
    <w:rsid w:val="00D14846"/>
    <w:rsid w:val="00D148D4"/>
    <w:rsid w:val="00D15577"/>
    <w:rsid w:val="00D15D67"/>
    <w:rsid w:val="00D16411"/>
    <w:rsid w:val="00D1680C"/>
    <w:rsid w:val="00D1699C"/>
    <w:rsid w:val="00D16F39"/>
    <w:rsid w:val="00D16FA0"/>
    <w:rsid w:val="00D17362"/>
    <w:rsid w:val="00D1766A"/>
    <w:rsid w:val="00D17923"/>
    <w:rsid w:val="00D17CCC"/>
    <w:rsid w:val="00D20D27"/>
    <w:rsid w:val="00D20E4D"/>
    <w:rsid w:val="00D224DF"/>
    <w:rsid w:val="00D23272"/>
    <w:rsid w:val="00D23303"/>
    <w:rsid w:val="00D23320"/>
    <w:rsid w:val="00D23A1B"/>
    <w:rsid w:val="00D247A6"/>
    <w:rsid w:val="00D24BF6"/>
    <w:rsid w:val="00D2568C"/>
    <w:rsid w:val="00D258A2"/>
    <w:rsid w:val="00D26D67"/>
    <w:rsid w:val="00D26F7A"/>
    <w:rsid w:val="00D2768D"/>
    <w:rsid w:val="00D27E27"/>
    <w:rsid w:val="00D27E6C"/>
    <w:rsid w:val="00D3013E"/>
    <w:rsid w:val="00D30FAC"/>
    <w:rsid w:val="00D30FB3"/>
    <w:rsid w:val="00D31ECB"/>
    <w:rsid w:val="00D327E3"/>
    <w:rsid w:val="00D32B5D"/>
    <w:rsid w:val="00D34387"/>
    <w:rsid w:val="00D34391"/>
    <w:rsid w:val="00D34836"/>
    <w:rsid w:val="00D349DB"/>
    <w:rsid w:val="00D34A93"/>
    <w:rsid w:val="00D34BB5"/>
    <w:rsid w:val="00D34C8D"/>
    <w:rsid w:val="00D34E14"/>
    <w:rsid w:val="00D34EEC"/>
    <w:rsid w:val="00D35659"/>
    <w:rsid w:val="00D35D54"/>
    <w:rsid w:val="00D361DE"/>
    <w:rsid w:val="00D3625E"/>
    <w:rsid w:val="00D36B84"/>
    <w:rsid w:val="00D407B1"/>
    <w:rsid w:val="00D4120C"/>
    <w:rsid w:val="00D42DA2"/>
    <w:rsid w:val="00D435E0"/>
    <w:rsid w:val="00D442E3"/>
    <w:rsid w:val="00D443BE"/>
    <w:rsid w:val="00D44755"/>
    <w:rsid w:val="00D449F1"/>
    <w:rsid w:val="00D473C5"/>
    <w:rsid w:val="00D473D1"/>
    <w:rsid w:val="00D479C2"/>
    <w:rsid w:val="00D47C51"/>
    <w:rsid w:val="00D500CC"/>
    <w:rsid w:val="00D5055B"/>
    <w:rsid w:val="00D509F4"/>
    <w:rsid w:val="00D50B35"/>
    <w:rsid w:val="00D5118C"/>
    <w:rsid w:val="00D5311D"/>
    <w:rsid w:val="00D531EF"/>
    <w:rsid w:val="00D54CAF"/>
    <w:rsid w:val="00D551C7"/>
    <w:rsid w:val="00D5525C"/>
    <w:rsid w:val="00D55D3B"/>
    <w:rsid w:val="00D55DD2"/>
    <w:rsid w:val="00D56285"/>
    <w:rsid w:val="00D56A65"/>
    <w:rsid w:val="00D56C01"/>
    <w:rsid w:val="00D56E81"/>
    <w:rsid w:val="00D57419"/>
    <w:rsid w:val="00D57B39"/>
    <w:rsid w:val="00D61141"/>
    <w:rsid w:val="00D6276A"/>
    <w:rsid w:val="00D62C66"/>
    <w:rsid w:val="00D640C5"/>
    <w:rsid w:val="00D641F3"/>
    <w:rsid w:val="00D64C8C"/>
    <w:rsid w:val="00D658A6"/>
    <w:rsid w:val="00D6662A"/>
    <w:rsid w:val="00D67194"/>
    <w:rsid w:val="00D672B8"/>
    <w:rsid w:val="00D67548"/>
    <w:rsid w:val="00D676DF"/>
    <w:rsid w:val="00D6775F"/>
    <w:rsid w:val="00D67E5A"/>
    <w:rsid w:val="00D67F60"/>
    <w:rsid w:val="00D7006C"/>
    <w:rsid w:val="00D709C6"/>
    <w:rsid w:val="00D71616"/>
    <w:rsid w:val="00D71985"/>
    <w:rsid w:val="00D71ED1"/>
    <w:rsid w:val="00D723BF"/>
    <w:rsid w:val="00D72845"/>
    <w:rsid w:val="00D73663"/>
    <w:rsid w:val="00D73B75"/>
    <w:rsid w:val="00D73F7C"/>
    <w:rsid w:val="00D755CD"/>
    <w:rsid w:val="00D75723"/>
    <w:rsid w:val="00D75BDB"/>
    <w:rsid w:val="00D76AF5"/>
    <w:rsid w:val="00D76CE1"/>
    <w:rsid w:val="00D80497"/>
    <w:rsid w:val="00D8057F"/>
    <w:rsid w:val="00D813C7"/>
    <w:rsid w:val="00D81791"/>
    <w:rsid w:val="00D81C9D"/>
    <w:rsid w:val="00D81D7E"/>
    <w:rsid w:val="00D82AB0"/>
    <w:rsid w:val="00D83935"/>
    <w:rsid w:val="00D83AAC"/>
    <w:rsid w:val="00D846DE"/>
    <w:rsid w:val="00D84832"/>
    <w:rsid w:val="00D8520E"/>
    <w:rsid w:val="00D853E3"/>
    <w:rsid w:val="00D853F1"/>
    <w:rsid w:val="00D8561B"/>
    <w:rsid w:val="00D85BAD"/>
    <w:rsid w:val="00D85DD3"/>
    <w:rsid w:val="00D86C7F"/>
    <w:rsid w:val="00D87ADF"/>
    <w:rsid w:val="00D9010A"/>
    <w:rsid w:val="00D90211"/>
    <w:rsid w:val="00D9091D"/>
    <w:rsid w:val="00D90E44"/>
    <w:rsid w:val="00D91822"/>
    <w:rsid w:val="00D922BB"/>
    <w:rsid w:val="00D92666"/>
    <w:rsid w:val="00D9369D"/>
    <w:rsid w:val="00D93910"/>
    <w:rsid w:val="00D960E8"/>
    <w:rsid w:val="00D9654B"/>
    <w:rsid w:val="00D979D7"/>
    <w:rsid w:val="00D979F0"/>
    <w:rsid w:val="00D97FA9"/>
    <w:rsid w:val="00DA035A"/>
    <w:rsid w:val="00DA03F9"/>
    <w:rsid w:val="00DA0827"/>
    <w:rsid w:val="00DA1962"/>
    <w:rsid w:val="00DA1AD1"/>
    <w:rsid w:val="00DA1D73"/>
    <w:rsid w:val="00DA21EE"/>
    <w:rsid w:val="00DA2803"/>
    <w:rsid w:val="00DA286C"/>
    <w:rsid w:val="00DA2C48"/>
    <w:rsid w:val="00DA3EFF"/>
    <w:rsid w:val="00DA44CB"/>
    <w:rsid w:val="00DA4E96"/>
    <w:rsid w:val="00DA4F75"/>
    <w:rsid w:val="00DA5BE4"/>
    <w:rsid w:val="00DA5ECD"/>
    <w:rsid w:val="00DA5F2C"/>
    <w:rsid w:val="00DA624F"/>
    <w:rsid w:val="00DA6D6D"/>
    <w:rsid w:val="00DA6F22"/>
    <w:rsid w:val="00DB0CE8"/>
    <w:rsid w:val="00DB100B"/>
    <w:rsid w:val="00DB1E6F"/>
    <w:rsid w:val="00DB2ADC"/>
    <w:rsid w:val="00DB32EE"/>
    <w:rsid w:val="00DB3300"/>
    <w:rsid w:val="00DB3899"/>
    <w:rsid w:val="00DB4045"/>
    <w:rsid w:val="00DB4052"/>
    <w:rsid w:val="00DB42FA"/>
    <w:rsid w:val="00DB7047"/>
    <w:rsid w:val="00DB73ED"/>
    <w:rsid w:val="00DB79E4"/>
    <w:rsid w:val="00DB7CFA"/>
    <w:rsid w:val="00DB7D42"/>
    <w:rsid w:val="00DB7FC8"/>
    <w:rsid w:val="00DC0308"/>
    <w:rsid w:val="00DC0E9E"/>
    <w:rsid w:val="00DC1A57"/>
    <w:rsid w:val="00DC1CB5"/>
    <w:rsid w:val="00DC2AD5"/>
    <w:rsid w:val="00DC2E7F"/>
    <w:rsid w:val="00DC327A"/>
    <w:rsid w:val="00DC356A"/>
    <w:rsid w:val="00DC3AA7"/>
    <w:rsid w:val="00DC406F"/>
    <w:rsid w:val="00DC4556"/>
    <w:rsid w:val="00DC4779"/>
    <w:rsid w:val="00DC4E62"/>
    <w:rsid w:val="00DC5237"/>
    <w:rsid w:val="00DC57BB"/>
    <w:rsid w:val="00DC5BD2"/>
    <w:rsid w:val="00DC65B4"/>
    <w:rsid w:val="00DC67A3"/>
    <w:rsid w:val="00DC7988"/>
    <w:rsid w:val="00DD01B4"/>
    <w:rsid w:val="00DD14CA"/>
    <w:rsid w:val="00DD18C3"/>
    <w:rsid w:val="00DD1B0F"/>
    <w:rsid w:val="00DD2045"/>
    <w:rsid w:val="00DD2269"/>
    <w:rsid w:val="00DD407D"/>
    <w:rsid w:val="00DD57F6"/>
    <w:rsid w:val="00DD5C3B"/>
    <w:rsid w:val="00DD5FDC"/>
    <w:rsid w:val="00DD6AC7"/>
    <w:rsid w:val="00DD7420"/>
    <w:rsid w:val="00DD7491"/>
    <w:rsid w:val="00DD7AC6"/>
    <w:rsid w:val="00DE0D96"/>
    <w:rsid w:val="00DE0FCC"/>
    <w:rsid w:val="00DE0FF5"/>
    <w:rsid w:val="00DE1498"/>
    <w:rsid w:val="00DE22FA"/>
    <w:rsid w:val="00DE24AD"/>
    <w:rsid w:val="00DE3214"/>
    <w:rsid w:val="00DE3863"/>
    <w:rsid w:val="00DE386F"/>
    <w:rsid w:val="00DE389D"/>
    <w:rsid w:val="00DE3FA0"/>
    <w:rsid w:val="00DE4855"/>
    <w:rsid w:val="00DE49B1"/>
    <w:rsid w:val="00DE59C5"/>
    <w:rsid w:val="00DE6572"/>
    <w:rsid w:val="00DE6B31"/>
    <w:rsid w:val="00DE6BF6"/>
    <w:rsid w:val="00DE7BF8"/>
    <w:rsid w:val="00DF0E2D"/>
    <w:rsid w:val="00DF1669"/>
    <w:rsid w:val="00DF1BDB"/>
    <w:rsid w:val="00DF1BF8"/>
    <w:rsid w:val="00DF1E1A"/>
    <w:rsid w:val="00DF2994"/>
    <w:rsid w:val="00DF3166"/>
    <w:rsid w:val="00DF433C"/>
    <w:rsid w:val="00DF437E"/>
    <w:rsid w:val="00DF4B09"/>
    <w:rsid w:val="00DF4B8F"/>
    <w:rsid w:val="00DF5474"/>
    <w:rsid w:val="00DF5B52"/>
    <w:rsid w:val="00DF5F6F"/>
    <w:rsid w:val="00DF6199"/>
    <w:rsid w:val="00DF6804"/>
    <w:rsid w:val="00DF7080"/>
    <w:rsid w:val="00DF7348"/>
    <w:rsid w:val="00DF73F8"/>
    <w:rsid w:val="00DF7499"/>
    <w:rsid w:val="00DF7864"/>
    <w:rsid w:val="00E01B10"/>
    <w:rsid w:val="00E01BEF"/>
    <w:rsid w:val="00E03424"/>
    <w:rsid w:val="00E03B09"/>
    <w:rsid w:val="00E04CCB"/>
    <w:rsid w:val="00E069F9"/>
    <w:rsid w:val="00E06D33"/>
    <w:rsid w:val="00E0751D"/>
    <w:rsid w:val="00E07BBC"/>
    <w:rsid w:val="00E10409"/>
    <w:rsid w:val="00E10B04"/>
    <w:rsid w:val="00E10C19"/>
    <w:rsid w:val="00E11EBA"/>
    <w:rsid w:val="00E1215F"/>
    <w:rsid w:val="00E12438"/>
    <w:rsid w:val="00E146FA"/>
    <w:rsid w:val="00E147D6"/>
    <w:rsid w:val="00E14BE0"/>
    <w:rsid w:val="00E14CC2"/>
    <w:rsid w:val="00E14CE4"/>
    <w:rsid w:val="00E170CB"/>
    <w:rsid w:val="00E203AC"/>
    <w:rsid w:val="00E20D3F"/>
    <w:rsid w:val="00E21563"/>
    <w:rsid w:val="00E21ED8"/>
    <w:rsid w:val="00E21F4A"/>
    <w:rsid w:val="00E220C6"/>
    <w:rsid w:val="00E22288"/>
    <w:rsid w:val="00E22291"/>
    <w:rsid w:val="00E228AE"/>
    <w:rsid w:val="00E235BB"/>
    <w:rsid w:val="00E24C54"/>
    <w:rsid w:val="00E257AD"/>
    <w:rsid w:val="00E2636C"/>
    <w:rsid w:val="00E264FD"/>
    <w:rsid w:val="00E2682B"/>
    <w:rsid w:val="00E2732B"/>
    <w:rsid w:val="00E27747"/>
    <w:rsid w:val="00E27EC2"/>
    <w:rsid w:val="00E3023B"/>
    <w:rsid w:val="00E30390"/>
    <w:rsid w:val="00E31ABD"/>
    <w:rsid w:val="00E31C8A"/>
    <w:rsid w:val="00E31F45"/>
    <w:rsid w:val="00E32551"/>
    <w:rsid w:val="00E32750"/>
    <w:rsid w:val="00E329C2"/>
    <w:rsid w:val="00E32E0E"/>
    <w:rsid w:val="00E333DE"/>
    <w:rsid w:val="00E3361C"/>
    <w:rsid w:val="00E33896"/>
    <w:rsid w:val="00E33AC0"/>
    <w:rsid w:val="00E347C4"/>
    <w:rsid w:val="00E34AFC"/>
    <w:rsid w:val="00E34B63"/>
    <w:rsid w:val="00E35B74"/>
    <w:rsid w:val="00E35D82"/>
    <w:rsid w:val="00E36192"/>
    <w:rsid w:val="00E36D11"/>
    <w:rsid w:val="00E40CC0"/>
    <w:rsid w:val="00E41C12"/>
    <w:rsid w:val="00E4233C"/>
    <w:rsid w:val="00E4235B"/>
    <w:rsid w:val="00E43160"/>
    <w:rsid w:val="00E43FD2"/>
    <w:rsid w:val="00E4472D"/>
    <w:rsid w:val="00E44F4B"/>
    <w:rsid w:val="00E44F89"/>
    <w:rsid w:val="00E45B73"/>
    <w:rsid w:val="00E45CE7"/>
    <w:rsid w:val="00E46644"/>
    <w:rsid w:val="00E46E57"/>
    <w:rsid w:val="00E50499"/>
    <w:rsid w:val="00E5192E"/>
    <w:rsid w:val="00E52312"/>
    <w:rsid w:val="00E5269C"/>
    <w:rsid w:val="00E52879"/>
    <w:rsid w:val="00E529A3"/>
    <w:rsid w:val="00E52C2C"/>
    <w:rsid w:val="00E5309E"/>
    <w:rsid w:val="00E531A3"/>
    <w:rsid w:val="00E53671"/>
    <w:rsid w:val="00E53696"/>
    <w:rsid w:val="00E538DC"/>
    <w:rsid w:val="00E53AB3"/>
    <w:rsid w:val="00E5423E"/>
    <w:rsid w:val="00E54526"/>
    <w:rsid w:val="00E5483E"/>
    <w:rsid w:val="00E54B24"/>
    <w:rsid w:val="00E5505A"/>
    <w:rsid w:val="00E55153"/>
    <w:rsid w:val="00E558CB"/>
    <w:rsid w:val="00E563C1"/>
    <w:rsid w:val="00E57346"/>
    <w:rsid w:val="00E609FB"/>
    <w:rsid w:val="00E632D1"/>
    <w:rsid w:val="00E66009"/>
    <w:rsid w:val="00E66528"/>
    <w:rsid w:val="00E66FC7"/>
    <w:rsid w:val="00E67570"/>
    <w:rsid w:val="00E67639"/>
    <w:rsid w:val="00E679A3"/>
    <w:rsid w:val="00E70462"/>
    <w:rsid w:val="00E705A4"/>
    <w:rsid w:val="00E709D3"/>
    <w:rsid w:val="00E70A00"/>
    <w:rsid w:val="00E70D24"/>
    <w:rsid w:val="00E71252"/>
    <w:rsid w:val="00E71934"/>
    <w:rsid w:val="00E720BE"/>
    <w:rsid w:val="00E72214"/>
    <w:rsid w:val="00E723F9"/>
    <w:rsid w:val="00E72533"/>
    <w:rsid w:val="00E72F10"/>
    <w:rsid w:val="00E72F85"/>
    <w:rsid w:val="00E72FA7"/>
    <w:rsid w:val="00E75586"/>
    <w:rsid w:val="00E75A9C"/>
    <w:rsid w:val="00E75ED2"/>
    <w:rsid w:val="00E76B4C"/>
    <w:rsid w:val="00E779F3"/>
    <w:rsid w:val="00E80060"/>
    <w:rsid w:val="00E80E8C"/>
    <w:rsid w:val="00E81B26"/>
    <w:rsid w:val="00E81C62"/>
    <w:rsid w:val="00E82640"/>
    <w:rsid w:val="00E828F8"/>
    <w:rsid w:val="00E82A30"/>
    <w:rsid w:val="00E836E4"/>
    <w:rsid w:val="00E8386B"/>
    <w:rsid w:val="00E844E2"/>
    <w:rsid w:val="00E8467E"/>
    <w:rsid w:val="00E85581"/>
    <w:rsid w:val="00E85708"/>
    <w:rsid w:val="00E876C0"/>
    <w:rsid w:val="00E877BE"/>
    <w:rsid w:val="00E9030B"/>
    <w:rsid w:val="00E90D06"/>
    <w:rsid w:val="00E917B3"/>
    <w:rsid w:val="00E91B5C"/>
    <w:rsid w:val="00E923FB"/>
    <w:rsid w:val="00E92615"/>
    <w:rsid w:val="00E929C0"/>
    <w:rsid w:val="00E92F2D"/>
    <w:rsid w:val="00E9304D"/>
    <w:rsid w:val="00E931C6"/>
    <w:rsid w:val="00E94575"/>
    <w:rsid w:val="00E9668C"/>
    <w:rsid w:val="00E97C59"/>
    <w:rsid w:val="00EA0940"/>
    <w:rsid w:val="00EA192C"/>
    <w:rsid w:val="00EA2FCA"/>
    <w:rsid w:val="00EA368C"/>
    <w:rsid w:val="00EA4156"/>
    <w:rsid w:val="00EA4C05"/>
    <w:rsid w:val="00EA5CA1"/>
    <w:rsid w:val="00EA6753"/>
    <w:rsid w:val="00EA7647"/>
    <w:rsid w:val="00EA7E60"/>
    <w:rsid w:val="00EB04B7"/>
    <w:rsid w:val="00EB07AF"/>
    <w:rsid w:val="00EB0AEE"/>
    <w:rsid w:val="00EB12CC"/>
    <w:rsid w:val="00EB17D7"/>
    <w:rsid w:val="00EB1918"/>
    <w:rsid w:val="00EB1DCE"/>
    <w:rsid w:val="00EB1E81"/>
    <w:rsid w:val="00EB27C2"/>
    <w:rsid w:val="00EB3483"/>
    <w:rsid w:val="00EB363A"/>
    <w:rsid w:val="00EB3972"/>
    <w:rsid w:val="00EB3EEF"/>
    <w:rsid w:val="00EB4EE4"/>
    <w:rsid w:val="00EB5D27"/>
    <w:rsid w:val="00EB5D94"/>
    <w:rsid w:val="00EB5F81"/>
    <w:rsid w:val="00EB6320"/>
    <w:rsid w:val="00EB641D"/>
    <w:rsid w:val="00EB6E42"/>
    <w:rsid w:val="00EB71AD"/>
    <w:rsid w:val="00EB791B"/>
    <w:rsid w:val="00EB7BF0"/>
    <w:rsid w:val="00EC0626"/>
    <w:rsid w:val="00EC1319"/>
    <w:rsid w:val="00EC13D1"/>
    <w:rsid w:val="00EC14B6"/>
    <w:rsid w:val="00EC1678"/>
    <w:rsid w:val="00EC18C3"/>
    <w:rsid w:val="00EC190E"/>
    <w:rsid w:val="00EC19EC"/>
    <w:rsid w:val="00EC2AA9"/>
    <w:rsid w:val="00EC3CA0"/>
    <w:rsid w:val="00EC45F2"/>
    <w:rsid w:val="00EC4881"/>
    <w:rsid w:val="00EC5643"/>
    <w:rsid w:val="00EC5744"/>
    <w:rsid w:val="00EC616B"/>
    <w:rsid w:val="00EC6B3A"/>
    <w:rsid w:val="00EC703A"/>
    <w:rsid w:val="00ED001A"/>
    <w:rsid w:val="00ED18E8"/>
    <w:rsid w:val="00ED1B8C"/>
    <w:rsid w:val="00ED243F"/>
    <w:rsid w:val="00ED2FDB"/>
    <w:rsid w:val="00ED40E9"/>
    <w:rsid w:val="00ED4293"/>
    <w:rsid w:val="00ED5632"/>
    <w:rsid w:val="00ED5E31"/>
    <w:rsid w:val="00EE04F5"/>
    <w:rsid w:val="00EE0BBE"/>
    <w:rsid w:val="00EE0F28"/>
    <w:rsid w:val="00EE141C"/>
    <w:rsid w:val="00EE16A8"/>
    <w:rsid w:val="00EE2C0E"/>
    <w:rsid w:val="00EE38B1"/>
    <w:rsid w:val="00EE4857"/>
    <w:rsid w:val="00EE4AE1"/>
    <w:rsid w:val="00EE51CF"/>
    <w:rsid w:val="00EE553B"/>
    <w:rsid w:val="00EE617F"/>
    <w:rsid w:val="00EE6510"/>
    <w:rsid w:val="00EE6FB9"/>
    <w:rsid w:val="00EE7206"/>
    <w:rsid w:val="00EF10F7"/>
    <w:rsid w:val="00EF1271"/>
    <w:rsid w:val="00EF14F4"/>
    <w:rsid w:val="00EF1AF3"/>
    <w:rsid w:val="00EF1ED0"/>
    <w:rsid w:val="00EF279B"/>
    <w:rsid w:val="00EF2CE0"/>
    <w:rsid w:val="00EF3B3A"/>
    <w:rsid w:val="00EF4CD9"/>
    <w:rsid w:val="00EF5882"/>
    <w:rsid w:val="00EF5D6D"/>
    <w:rsid w:val="00EF6548"/>
    <w:rsid w:val="00EF694B"/>
    <w:rsid w:val="00EF6B0C"/>
    <w:rsid w:val="00EF6E09"/>
    <w:rsid w:val="00EF7C04"/>
    <w:rsid w:val="00EF7FCF"/>
    <w:rsid w:val="00F008BE"/>
    <w:rsid w:val="00F015B5"/>
    <w:rsid w:val="00F01D0B"/>
    <w:rsid w:val="00F02A3B"/>
    <w:rsid w:val="00F02B51"/>
    <w:rsid w:val="00F0360B"/>
    <w:rsid w:val="00F062D6"/>
    <w:rsid w:val="00F067AF"/>
    <w:rsid w:val="00F07B3C"/>
    <w:rsid w:val="00F1048A"/>
    <w:rsid w:val="00F11B3C"/>
    <w:rsid w:val="00F11E5F"/>
    <w:rsid w:val="00F12019"/>
    <w:rsid w:val="00F12EDD"/>
    <w:rsid w:val="00F13518"/>
    <w:rsid w:val="00F15317"/>
    <w:rsid w:val="00F154BD"/>
    <w:rsid w:val="00F16B78"/>
    <w:rsid w:val="00F170FE"/>
    <w:rsid w:val="00F17524"/>
    <w:rsid w:val="00F17A9D"/>
    <w:rsid w:val="00F2130C"/>
    <w:rsid w:val="00F213B0"/>
    <w:rsid w:val="00F218F2"/>
    <w:rsid w:val="00F229FE"/>
    <w:rsid w:val="00F22FC2"/>
    <w:rsid w:val="00F23208"/>
    <w:rsid w:val="00F23AD7"/>
    <w:rsid w:val="00F24D94"/>
    <w:rsid w:val="00F2534C"/>
    <w:rsid w:val="00F25C1B"/>
    <w:rsid w:val="00F26E19"/>
    <w:rsid w:val="00F271F1"/>
    <w:rsid w:val="00F2724D"/>
    <w:rsid w:val="00F30407"/>
    <w:rsid w:val="00F307A2"/>
    <w:rsid w:val="00F308A6"/>
    <w:rsid w:val="00F3211F"/>
    <w:rsid w:val="00F324FE"/>
    <w:rsid w:val="00F329E0"/>
    <w:rsid w:val="00F32D58"/>
    <w:rsid w:val="00F32DDB"/>
    <w:rsid w:val="00F32F21"/>
    <w:rsid w:val="00F333CB"/>
    <w:rsid w:val="00F337F1"/>
    <w:rsid w:val="00F3398E"/>
    <w:rsid w:val="00F342F1"/>
    <w:rsid w:val="00F3501E"/>
    <w:rsid w:val="00F36F1E"/>
    <w:rsid w:val="00F37B4B"/>
    <w:rsid w:val="00F40920"/>
    <w:rsid w:val="00F40B55"/>
    <w:rsid w:val="00F40C76"/>
    <w:rsid w:val="00F40FC3"/>
    <w:rsid w:val="00F410E1"/>
    <w:rsid w:val="00F42332"/>
    <w:rsid w:val="00F42511"/>
    <w:rsid w:val="00F42545"/>
    <w:rsid w:val="00F427D1"/>
    <w:rsid w:val="00F4463D"/>
    <w:rsid w:val="00F44EA4"/>
    <w:rsid w:val="00F45502"/>
    <w:rsid w:val="00F45EF3"/>
    <w:rsid w:val="00F45FC6"/>
    <w:rsid w:val="00F4609F"/>
    <w:rsid w:val="00F46BE9"/>
    <w:rsid w:val="00F5011D"/>
    <w:rsid w:val="00F50EAC"/>
    <w:rsid w:val="00F51C0C"/>
    <w:rsid w:val="00F51CA8"/>
    <w:rsid w:val="00F51DCB"/>
    <w:rsid w:val="00F52727"/>
    <w:rsid w:val="00F52A18"/>
    <w:rsid w:val="00F53716"/>
    <w:rsid w:val="00F543B2"/>
    <w:rsid w:val="00F550A2"/>
    <w:rsid w:val="00F55D59"/>
    <w:rsid w:val="00F55F49"/>
    <w:rsid w:val="00F560BD"/>
    <w:rsid w:val="00F56772"/>
    <w:rsid w:val="00F57617"/>
    <w:rsid w:val="00F578F2"/>
    <w:rsid w:val="00F60536"/>
    <w:rsid w:val="00F608B1"/>
    <w:rsid w:val="00F6283B"/>
    <w:rsid w:val="00F62C05"/>
    <w:rsid w:val="00F63861"/>
    <w:rsid w:val="00F642AD"/>
    <w:rsid w:val="00F643ED"/>
    <w:rsid w:val="00F644C6"/>
    <w:rsid w:val="00F64F6D"/>
    <w:rsid w:val="00F66102"/>
    <w:rsid w:val="00F66191"/>
    <w:rsid w:val="00F66CB6"/>
    <w:rsid w:val="00F671E1"/>
    <w:rsid w:val="00F675DB"/>
    <w:rsid w:val="00F70473"/>
    <w:rsid w:val="00F70DBE"/>
    <w:rsid w:val="00F7109B"/>
    <w:rsid w:val="00F71BA9"/>
    <w:rsid w:val="00F71F8F"/>
    <w:rsid w:val="00F7249D"/>
    <w:rsid w:val="00F72A4F"/>
    <w:rsid w:val="00F72E06"/>
    <w:rsid w:val="00F74995"/>
    <w:rsid w:val="00F75147"/>
    <w:rsid w:val="00F7576A"/>
    <w:rsid w:val="00F75F9B"/>
    <w:rsid w:val="00F762C6"/>
    <w:rsid w:val="00F769BB"/>
    <w:rsid w:val="00F77710"/>
    <w:rsid w:val="00F7785A"/>
    <w:rsid w:val="00F8016C"/>
    <w:rsid w:val="00F80652"/>
    <w:rsid w:val="00F8089E"/>
    <w:rsid w:val="00F81922"/>
    <w:rsid w:val="00F82A98"/>
    <w:rsid w:val="00F83DA7"/>
    <w:rsid w:val="00F84EAC"/>
    <w:rsid w:val="00F8571D"/>
    <w:rsid w:val="00F86DEF"/>
    <w:rsid w:val="00F87449"/>
    <w:rsid w:val="00F875B1"/>
    <w:rsid w:val="00F87C07"/>
    <w:rsid w:val="00F90B23"/>
    <w:rsid w:val="00F9101B"/>
    <w:rsid w:val="00F914A2"/>
    <w:rsid w:val="00F914F4"/>
    <w:rsid w:val="00F9281C"/>
    <w:rsid w:val="00F92E68"/>
    <w:rsid w:val="00F92FA3"/>
    <w:rsid w:val="00F93313"/>
    <w:rsid w:val="00F9377A"/>
    <w:rsid w:val="00F93DAB"/>
    <w:rsid w:val="00F94BD2"/>
    <w:rsid w:val="00F951CB"/>
    <w:rsid w:val="00F952EB"/>
    <w:rsid w:val="00F95300"/>
    <w:rsid w:val="00F95427"/>
    <w:rsid w:val="00F95B53"/>
    <w:rsid w:val="00F95C8E"/>
    <w:rsid w:val="00FA069F"/>
    <w:rsid w:val="00FA0753"/>
    <w:rsid w:val="00FA07BB"/>
    <w:rsid w:val="00FA10FB"/>
    <w:rsid w:val="00FA135D"/>
    <w:rsid w:val="00FA1ADC"/>
    <w:rsid w:val="00FA1C7C"/>
    <w:rsid w:val="00FA1F81"/>
    <w:rsid w:val="00FA2467"/>
    <w:rsid w:val="00FA247F"/>
    <w:rsid w:val="00FA2F5B"/>
    <w:rsid w:val="00FA336D"/>
    <w:rsid w:val="00FA33CA"/>
    <w:rsid w:val="00FA34E5"/>
    <w:rsid w:val="00FA35A1"/>
    <w:rsid w:val="00FA3C24"/>
    <w:rsid w:val="00FA3FBB"/>
    <w:rsid w:val="00FA4116"/>
    <w:rsid w:val="00FA4995"/>
    <w:rsid w:val="00FA4EAD"/>
    <w:rsid w:val="00FA5743"/>
    <w:rsid w:val="00FA660C"/>
    <w:rsid w:val="00FA6A1D"/>
    <w:rsid w:val="00FA6D5B"/>
    <w:rsid w:val="00FA75C1"/>
    <w:rsid w:val="00FB060E"/>
    <w:rsid w:val="00FB0F34"/>
    <w:rsid w:val="00FB136B"/>
    <w:rsid w:val="00FB143A"/>
    <w:rsid w:val="00FB16CE"/>
    <w:rsid w:val="00FB1743"/>
    <w:rsid w:val="00FB18A4"/>
    <w:rsid w:val="00FB2259"/>
    <w:rsid w:val="00FB2542"/>
    <w:rsid w:val="00FB3371"/>
    <w:rsid w:val="00FB3462"/>
    <w:rsid w:val="00FB3994"/>
    <w:rsid w:val="00FB46A7"/>
    <w:rsid w:val="00FB48C6"/>
    <w:rsid w:val="00FB612B"/>
    <w:rsid w:val="00FB7C72"/>
    <w:rsid w:val="00FB7FC4"/>
    <w:rsid w:val="00FC027D"/>
    <w:rsid w:val="00FC0B0F"/>
    <w:rsid w:val="00FC1C35"/>
    <w:rsid w:val="00FC1E78"/>
    <w:rsid w:val="00FC2260"/>
    <w:rsid w:val="00FC2551"/>
    <w:rsid w:val="00FC4D8A"/>
    <w:rsid w:val="00FC525F"/>
    <w:rsid w:val="00FC5478"/>
    <w:rsid w:val="00FC54C4"/>
    <w:rsid w:val="00FC5694"/>
    <w:rsid w:val="00FC5A23"/>
    <w:rsid w:val="00FC5AD4"/>
    <w:rsid w:val="00FC5E6D"/>
    <w:rsid w:val="00FC60CB"/>
    <w:rsid w:val="00FC6F45"/>
    <w:rsid w:val="00FC723E"/>
    <w:rsid w:val="00FC78C8"/>
    <w:rsid w:val="00FC7B48"/>
    <w:rsid w:val="00FD06A5"/>
    <w:rsid w:val="00FD0EFD"/>
    <w:rsid w:val="00FD1330"/>
    <w:rsid w:val="00FD1856"/>
    <w:rsid w:val="00FD18AE"/>
    <w:rsid w:val="00FD191E"/>
    <w:rsid w:val="00FD346D"/>
    <w:rsid w:val="00FD3A03"/>
    <w:rsid w:val="00FD3B0C"/>
    <w:rsid w:val="00FD4615"/>
    <w:rsid w:val="00FD4763"/>
    <w:rsid w:val="00FD5015"/>
    <w:rsid w:val="00FD5072"/>
    <w:rsid w:val="00FD5C3F"/>
    <w:rsid w:val="00FD5F37"/>
    <w:rsid w:val="00FD6DE2"/>
    <w:rsid w:val="00FD702D"/>
    <w:rsid w:val="00FE02DC"/>
    <w:rsid w:val="00FE12C2"/>
    <w:rsid w:val="00FE2BD0"/>
    <w:rsid w:val="00FE32AD"/>
    <w:rsid w:val="00FE32EA"/>
    <w:rsid w:val="00FE3B15"/>
    <w:rsid w:val="00FE3B3B"/>
    <w:rsid w:val="00FE3FBB"/>
    <w:rsid w:val="00FE4CB9"/>
    <w:rsid w:val="00FE5333"/>
    <w:rsid w:val="00FE56AA"/>
    <w:rsid w:val="00FE58F7"/>
    <w:rsid w:val="00FE6394"/>
    <w:rsid w:val="00FE6551"/>
    <w:rsid w:val="00FE722A"/>
    <w:rsid w:val="00FE76A2"/>
    <w:rsid w:val="00FE7B58"/>
    <w:rsid w:val="00FF10C4"/>
    <w:rsid w:val="00FF195A"/>
    <w:rsid w:val="00FF1DF2"/>
    <w:rsid w:val="00FF21C9"/>
    <w:rsid w:val="00FF30E2"/>
    <w:rsid w:val="00FF310E"/>
    <w:rsid w:val="00FF3BE2"/>
    <w:rsid w:val="00FF48B9"/>
    <w:rsid w:val="00FF492A"/>
    <w:rsid w:val="00FF4CA3"/>
    <w:rsid w:val="00FF529E"/>
    <w:rsid w:val="00FF55FF"/>
    <w:rsid w:val="00FF5E68"/>
    <w:rsid w:val="00FF6208"/>
    <w:rsid w:val="00FF69E7"/>
    <w:rsid w:val="00FF71B1"/>
    <w:rsid w:val="00FF7227"/>
    <w:rsid w:val="00FF7A63"/>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E7AF"/>
  <w15:docId w15:val="{36FB8029-C31D-4F3A-8065-5DE4FD03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paragraph" w:styleId="Ttulo2">
    <w:name w:val="heading 2"/>
    <w:basedOn w:val="Normal"/>
    <w:link w:val="Ttulo2Car"/>
    <w:uiPriority w:val="9"/>
    <w:qFormat/>
    <w:rsid w:val="00570D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paragraph" w:styleId="Ttulo4">
    <w:name w:val="heading 4"/>
    <w:basedOn w:val="Normal"/>
    <w:next w:val="Normal"/>
    <w:link w:val="Ttulo4Car"/>
    <w:uiPriority w:val="9"/>
    <w:semiHidden/>
    <w:unhideWhenUsed/>
    <w:qFormat/>
    <w:rsid w:val="00EC61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iedepgina">
    <w:name w:val="footer"/>
    <w:pPr>
      <w:tabs>
        <w:tab w:val="center" w:pos="4320"/>
        <w:tab w:val="right" w:pos="8640"/>
      </w:tabs>
    </w:pPr>
    <w:rPr>
      <w:rFonts w:cs="Arial Unicode MS"/>
      <w:color w:val="000000"/>
      <w:sz w:val="24"/>
      <w:szCs w:val="24"/>
      <w:u w:color="000000"/>
    </w:rPr>
  </w:style>
  <w:style w:type="paragraph" w:styleId="Encabezado">
    <w:name w:val="header"/>
    <w:link w:val="EncabezadoCar"/>
    <w:uiPriority w:val="99"/>
    <w:pPr>
      <w:tabs>
        <w:tab w:val="center" w:pos="4320"/>
        <w:tab w:val="right" w:pos="8640"/>
      </w:tabs>
    </w:pPr>
    <w:rPr>
      <w:rFonts w:cs="Arial Unicode MS"/>
      <w:color w:val="000000"/>
      <w:sz w:val="24"/>
      <w:szCs w:val="24"/>
      <w:u w:color="000000"/>
    </w:rPr>
  </w:style>
  <w:style w:type="numbering" w:customStyle="1" w:styleId="ImportedStyle1">
    <w:name w:val="Imported Style 1"/>
    <w:pPr>
      <w:numPr>
        <w:numId w:val="1"/>
      </w:numPr>
    </w:pPr>
  </w:style>
  <w:style w:type="paragraph" w:styleId="Prrafodelista">
    <w:name w:val="List Paragraph"/>
    <w:uiPriority w:val="34"/>
    <w:qFormat/>
    <w:pPr>
      <w:ind w:left="720"/>
    </w:pPr>
    <w:rPr>
      <w:rFonts w:eastAsia="Times New Roman"/>
      <w:color w:val="000000"/>
      <w:sz w:val="24"/>
      <w:szCs w:val="24"/>
      <w:u w:color="000000"/>
    </w:r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0"/>
      <w:szCs w:val="20"/>
      <w:u w:val="single" w:color="000000"/>
    </w:rPr>
  </w:style>
  <w:style w:type="paragraph" w:styleId="Textoindependiente">
    <w:name w:val="Body Text"/>
    <w:pPr>
      <w:spacing w:line="360" w:lineRule="auto"/>
      <w:jc w:val="both"/>
    </w:pPr>
    <w:rPr>
      <w:rFonts w:eastAsia="Times New Roman"/>
      <w:color w:val="000000"/>
      <w:sz w:val="24"/>
      <w:szCs w:val="24"/>
      <w:u w:color="000000"/>
    </w:rPr>
  </w:style>
  <w:style w:type="paragraph" w:styleId="NormalWeb">
    <w:name w:val="Normal (Web)"/>
    <w:uiPriority w:val="99"/>
    <w:pPr>
      <w:spacing w:before="100" w:after="100" w:line="264" w:lineRule="auto"/>
    </w:pPr>
    <w:rPr>
      <w:rFonts w:cs="Arial Unicode MS"/>
      <w:color w:val="000000"/>
      <w:sz w:val="17"/>
      <w:szCs w:val="17"/>
      <w:u w:color="000000"/>
    </w:rPr>
  </w:style>
  <w:style w:type="paragraph" w:customStyle="1" w:styleId="Default">
    <w:name w:val="Default"/>
    <w:rPr>
      <w:rFonts w:eastAsia="Times New Roman"/>
      <w:color w:val="000000"/>
      <w:sz w:val="24"/>
      <w:szCs w:val="24"/>
      <w:u w:color="000000"/>
    </w:rPr>
  </w:style>
  <w:style w:type="character" w:customStyle="1" w:styleId="Hyperlink1">
    <w:name w:val="Hyperlink.1"/>
    <w:basedOn w:val="Link"/>
    <w:rPr>
      <w:color w:val="0000FF"/>
      <w:u w:val="single" w:color="0000FF"/>
    </w:rPr>
  </w:style>
  <w:style w:type="paragraph" w:styleId="Textodeglobo">
    <w:name w:val="Balloon Text"/>
    <w:basedOn w:val="Normal"/>
    <w:link w:val="TextodegloboCar"/>
    <w:uiPriority w:val="99"/>
    <w:semiHidden/>
    <w:unhideWhenUsed/>
    <w:rsid w:val="00927905"/>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905"/>
    <w:rPr>
      <w:rFonts w:ascii="Tahoma" w:hAnsi="Tahoma" w:cs="Tahoma"/>
      <w:color w:val="000000"/>
      <w:sz w:val="16"/>
      <w:szCs w:val="16"/>
      <w:u w:color="000000"/>
    </w:rPr>
  </w:style>
  <w:style w:type="character" w:styleId="Refdecomentario">
    <w:name w:val="annotation reference"/>
    <w:basedOn w:val="Fuentedeprrafopredeter"/>
    <w:uiPriority w:val="99"/>
    <w:semiHidden/>
    <w:unhideWhenUsed/>
    <w:rsid w:val="000170A4"/>
    <w:rPr>
      <w:sz w:val="16"/>
      <w:szCs w:val="16"/>
    </w:rPr>
  </w:style>
  <w:style w:type="paragraph" w:styleId="Textocomentario">
    <w:name w:val="annotation text"/>
    <w:basedOn w:val="Normal"/>
    <w:link w:val="TextocomentarioCar"/>
    <w:uiPriority w:val="99"/>
    <w:unhideWhenUsed/>
    <w:rsid w:val="000170A4"/>
    <w:rPr>
      <w:sz w:val="20"/>
      <w:szCs w:val="20"/>
    </w:rPr>
  </w:style>
  <w:style w:type="character" w:customStyle="1" w:styleId="TextocomentarioCar">
    <w:name w:val="Texto comentario Car"/>
    <w:basedOn w:val="Fuentedeprrafopredeter"/>
    <w:link w:val="Textocomentario"/>
    <w:uiPriority w:val="99"/>
    <w:rsid w:val="000170A4"/>
    <w:rPr>
      <w:rFonts w:cs="Arial Unicode MS"/>
      <w:color w:val="000000"/>
      <w:u w:color="000000"/>
    </w:rPr>
  </w:style>
  <w:style w:type="paragraph" w:styleId="Asuntodelcomentario">
    <w:name w:val="annotation subject"/>
    <w:basedOn w:val="Textocomentario"/>
    <w:next w:val="Textocomentario"/>
    <w:link w:val="AsuntodelcomentarioCar"/>
    <w:uiPriority w:val="99"/>
    <w:semiHidden/>
    <w:unhideWhenUsed/>
    <w:rsid w:val="000170A4"/>
    <w:rPr>
      <w:b/>
      <w:bCs/>
    </w:rPr>
  </w:style>
  <w:style w:type="character" w:customStyle="1" w:styleId="AsuntodelcomentarioCar">
    <w:name w:val="Asunto del comentario Car"/>
    <w:basedOn w:val="TextocomentarioCar"/>
    <w:link w:val="Asuntodelcomentario"/>
    <w:uiPriority w:val="99"/>
    <w:semiHidden/>
    <w:rsid w:val="000170A4"/>
    <w:rPr>
      <w:rFonts w:cs="Arial Unicode MS"/>
      <w:b/>
      <w:bCs/>
      <w:color w:val="000000"/>
      <w:u w:color="000000"/>
    </w:rPr>
  </w:style>
  <w:style w:type="character" w:customStyle="1" w:styleId="EncabezadoCar">
    <w:name w:val="Encabezado Car"/>
    <w:basedOn w:val="Fuentedeprrafopredeter"/>
    <w:link w:val="Encabezado"/>
    <w:uiPriority w:val="99"/>
    <w:rsid w:val="007546F9"/>
    <w:rPr>
      <w:rFonts w:cs="Arial Unicode MS"/>
      <w:color w:val="000000"/>
      <w:sz w:val="24"/>
      <w:szCs w:val="24"/>
      <w:u w:color="000000"/>
    </w:rPr>
  </w:style>
  <w:style w:type="paragraph" w:styleId="Revisin">
    <w:name w:val="Revision"/>
    <w:hidden/>
    <w:uiPriority w:val="99"/>
    <w:semiHidden/>
    <w:rsid w:val="0092454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styleId="Hipervnculovisitado">
    <w:name w:val="FollowedHyperlink"/>
    <w:basedOn w:val="Fuentedeprrafopredeter"/>
    <w:uiPriority w:val="99"/>
    <w:semiHidden/>
    <w:unhideWhenUsed/>
    <w:rsid w:val="00EF7C04"/>
    <w:rPr>
      <w:color w:val="FF00FF" w:themeColor="followedHyperlink"/>
      <w:u w:val="single"/>
    </w:rPr>
  </w:style>
  <w:style w:type="paragraph" w:styleId="Sinespaciado">
    <w:name w:val="No Spacing"/>
    <w:aliases w:val="No sp."/>
    <w:basedOn w:val="Normal"/>
    <w:uiPriority w:val="1"/>
    <w:qFormat/>
    <w:rsid w:val="00BF20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Ttulo2Car">
    <w:name w:val="Título 2 Car"/>
    <w:basedOn w:val="Fuentedeprrafopredeter"/>
    <w:link w:val="Ttulo2"/>
    <w:uiPriority w:val="9"/>
    <w:rsid w:val="00570D27"/>
    <w:rPr>
      <w:rFonts w:eastAsia="Times New Roman"/>
      <w:b/>
      <w:bCs/>
      <w:sz w:val="36"/>
      <w:szCs w:val="36"/>
      <w:bdr w:val="none" w:sz="0" w:space="0" w:color="auto"/>
    </w:rPr>
  </w:style>
  <w:style w:type="character" w:styleId="Textoennegrita">
    <w:name w:val="Strong"/>
    <w:basedOn w:val="Fuentedeprrafopredeter"/>
    <w:uiPriority w:val="22"/>
    <w:qFormat/>
    <w:rsid w:val="00294421"/>
    <w:rPr>
      <w:b/>
      <w:bCs/>
    </w:rPr>
  </w:style>
  <w:style w:type="character" w:customStyle="1" w:styleId="Ttulo4Car">
    <w:name w:val="Título 4 Car"/>
    <w:basedOn w:val="Fuentedeprrafopredeter"/>
    <w:link w:val="Ttulo4"/>
    <w:uiPriority w:val="9"/>
    <w:semiHidden/>
    <w:rsid w:val="00EC616B"/>
    <w:rPr>
      <w:rFonts w:asciiTheme="majorHAnsi" w:eastAsiaTheme="majorEastAsia" w:hAnsiTheme="majorHAnsi" w:cstheme="majorBidi"/>
      <w:i/>
      <w:iCs/>
      <w:color w:val="365F91" w:themeColor="accent1" w:themeShade="BF"/>
      <w:sz w:val="24"/>
      <w:szCs w:val="24"/>
      <w:u w:color="000000"/>
    </w:rPr>
  </w:style>
  <w:style w:type="character" w:styleId="nfasis">
    <w:name w:val="Emphasis"/>
    <w:basedOn w:val="Fuentedeprrafopredeter"/>
    <w:uiPriority w:val="20"/>
    <w:qFormat/>
    <w:rsid w:val="00EC616B"/>
    <w:rPr>
      <w:i/>
      <w:iCs/>
    </w:rPr>
  </w:style>
  <w:style w:type="paragraph" w:styleId="Textonotapie">
    <w:name w:val="footnote text"/>
    <w:basedOn w:val="Normal"/>
    <w:link w:val="TextonotapieCar"/>
    <w:uiPriority w:val="99"/>
    <w:rsid w:val="00760E4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rPr>
  </w:style>
  <w:style w:type="character" w:customStyle="1" w:styleId="TextonotapieCar">
    <w:name w:val="Texto nota pie Car"/>
    <w:basedOn w:val="Fuentedeprrafopredeter"/>
    <w:link w:val="Textonotapie"/>
    <w:uiPriority w:val="99"/>
    <w:rsid w:val="00760E42"/>
    <w:rPr>
      <w:rFonts w:eastAsia="Times New Roman"/>
      <w:bdr w:val="none" w:sz="0" w:space="0" w:color="auto"/>
    </w:rPr>
  </w:style>
  <w:style w:type="character" w:styleId="Refdenotaalpie">
    <w:name w:val="footnote reference"/>
    <w:semiHidden/>
    <w:rsid w:val="00760E42"/>
    <w:rPr>
      <w:vertAlign w:val="superscript"/>
    </w:rPr>
  </w:style>
  <w:style w:type="paragraph" w:styleId="Textonotaalfinal">
    <w:name w:val="endnote text"/>
    <w:basedOn w:val="Normal"/>
    <w:link w:val="TextonotaalfinalCar"/>
    <w:uiPriority w:val="99"/>
    <w:semiHidden/>
    <w:unhideWhenUsed/>
    <w:rsid w:val="002368BB"/>
    <w:rPr>
      <w:sz w:val="20"/>
      <w:szCs w:val="20"/>
    </w:rPr>
  </w:style>
  <w:style w:type="character" w:customStyle="1" w:styleId="TextonotaalfinalCar">
    <w:name w:val="Texto nota al final Car"/>
    <w:basedOn w:val="Fuentedeprrafopredeter"/>
    <w:link w:val="Textonotaalfinal"/>
    <w:uiPriority w:val="99"/>
    <w:semiHidden/>
    <w:rsid w:val="002368BB"/>
    <w:rPr>
      <w:rFonts w:cs="Arial Unicode MS"/>
      <w:color w:val="000000"/>
      <w:u w:color="000000"/>
    </w:rPr>
  </w:style>
  <w:style w:type="character" w:styleId="Refdenotaalfinal">
    <w:name w:val="endnote reference"/>
    <w:basedOn w:val="Fuentedeprrafopredeter"/>
    <w:uiPriority w:val="99"/>
    <w:semiHidden/>
    <w:unhideWhenUsed/>
    <w:rsid w:val="002368BB"/>
    <w:rPr>
      <w:vertAlign w:val="superscript"/>
    </w:rPr>
  </w:style>
  <w:style w:type="paragraph" w:customStyle="1" w:styleId="Title2">
    <w:name w:val="Title 2"/>
    <w:basedOn w:val="Normal"/>
    <w:next w:val="Textoindependiente"/>
    <w:link w:val="Title2Char"/>
    <w:uiPriority w:val="49"/>
    <w:rsid w:val="008748B3"/>
    <w:pPr>
      <w:keepNext/>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inorHAnsi" w:eastAsiaTheme="minorHAnsi" w:hAnsiTheme="minorHAnsi" w:cs="Times New Roman"/>
      <w:b/>
      <w:color w:val="auto"/>
      <w:bdr w:val="none" w:sz="0" w:space="0" w:color="auto"/>
    </w:rPr>
  </w:style>
  <w:style w:type="character" w:customStyle="1" w:styleId="Title2Char">
    <w:name w:val="Title 2 Char"/>
    <w:basedOn w:val="Fuentedeprrafopredeter"/>
    <w:link w:val="Title2"/>
    <w:uiPriority w:val="49"/>
    <w:rsid w:val="008748B3"/>
    <w:rPr>
      <w:rFonts w:asciiTheme="minorHAnsi" w:eastAsiaTheme="minorHAnsi" w:hAnsiTheme="minorHAnsi"/>
      <w:b/>
      <w:sz w:val="24"/>
      <w:szCs w:val="24"/>
      <w:bdr w:val="none" w:sz="0" w:space="0" w:color="auto"/>
    </w:rPr>
  </w:style>
  <w:style w:type="table" w:styleId="Tablaconcuadrcula">
    <w:name w:val="Table Grid"/>
    <w:basedOn w:val="Tablanormal"/>
    <w:uiPriority w:val="59"/>
    <w:rsid w:val="00B6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EB1DCE"/>
    <w:rPr>
      <w:color w:val="605E5C"/>
      <w:shd w:val="clear" w:color="auto" w:fill="E1DFDD"/>
    </w:rPr>
  </w:style>
  <w:style w:type="paragraph" w:styleId="Listaconvietas">
    <w:name w:val="List Bullet"/>
    <w:aliases w:val="ListBul 1"/>
    <w:basedOn w:val="Normal"/>
    <w:uiPriority w:val="31"/>
    <w:qFormat/>
    <w:rsid w:val="005426F5"/>
    <w:pPr>
      <w:numPr>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inorHAnsi" w:eastAsiaTheme="minorHAnsi" w:hAnsiTheme="minorHAnsi" w:cs="Times New Roman"/>
      <w:color w:val="auto"/>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2970">
      <w:bodyDiv w:val="1"/>
      <w:marLeft w:val="0"/>
      <w:marRight w:val="0"/>
      <w:marTop w:val="0"/>
      <w:marBottom w:val="0"/>
      <w:divBdr>
        <w:top w:val="none" w:sz="0" w:space="0" w:color="auto"/>
        <w:left w:val="none" w:sz="0" w:space="0" w:color="auto"/>
        <w:bottom w:val="none" w:sz="0" w:space="0" w:color="auto"/>
        <w:right w:val="none" w:sz="0" w:space="0" w:color="auto"/>
      </w:divBdr>
    </w:div>
    <w:div w:id="91125710">
      <w:bodyDiv w:val="1"/>
      <w:marLeft w:val="0"/>
      <w:marRight w:val="0"/>
      <w:marTop w:val="0"/>
      <w:marBottom w:val="0"/>
      <w:divBdr>
        <w:top w:val="none" w:sz="0" w:space="0" w:color="auto"/>
        <w:left w:val="none" w:sz="0" w:space="0" w:color="auto"/>
        <w:bottom w:val="none" w:sz="0" w:space="0" w:color="auto"/>
        <w:right w:val="none" w:sz="0" w:space="0" w:color="auto"/>
      </w:divBdr>
    </w:div>
    <w:div w:id="166755833">
      <w:bodyDiv w:val="1"/>
      <w:marLeft w:val="0"/>
      <w:marRight w:val="0"/>
      <w:marTop w:val="0"/>
      <w:marBottom w:val="0"/>
      <w:divBdr>
        <w:top w:val="none" w:sz="0" w:space="0" w:color="auto"/>
        <w:left w:val="none" w:sz="0" w:space="0" w:color="auto"/>
        <w:bottom w:val="none" w:sz="0" w:space="0" w:color="auto"/>
        <w:right w:val="none" w:sz="0" w:space="0" w:color="auto"/>
      </w:divBdr>
    </w:div>
    <w:div w:id="274677563">
      <w:bodyDiv w:val="1"/>
      <w:marLeft w:val="0"/>
      <w:marRight w:val="0"/>
      <w:marTop w:val="0"/>
      <w:marBottom w:val="0"/>
      <w:divBdr>
        <w:top w:val="none" w:sz="0" w:space="0" w:color="auto"/>
        <w:left w:val="none" w:sz="0" w:space="0" w:color="auto"/>
        <w:bottom w:val="none" w:sz="0" w:space="0" w:color="auto"/>
        <w:right w:val="none" w:sz="0" w:space="0" w:color="auto"/>
      </w:divBdr>
    </w:div>
    <w:div w:id="334843963">
      <w:bodyDiv w:val="1"/>
      <w:marLeft w:val="0"/>
      <w:marRight w:val="0"/>
      <w:marTop w:val="0"/>
      <w:marBottom w:val="0"/>
      <w:divBdr>
        <w:top w:val="none" w:sz="0" w:space="0" w:color="auto"/>
        <w:left w:val="none" w:sz="0" w:space="0" w:color="auto"/>
        <w:bottom w:val="none" w:sz="0" w:space="0" w:color="auto"/>
        <w:right w:val="none" w:sz="0" w:space="0" w:color="auto"/>
      </w:divBdr>
    </w:div>
    <w:div w:id="374546707">
      <w:bodyDiv w:val="1"/>
      <w:marLeft w:val="0"/>
      <w:marRight w:val="0"/>
      <w:marTop w:val="0"/>
      <w:marBottom w:val="0"/>
      <w:divBdr>
        <w:top w:val="none" w:sz="0" w:space="0" w:color="auto"/>
        <w:left w:val="none" w:sz="0" w:space="0" w:color="auto"/>
        <w:bottom w:val="none" w:sz="0" w:space="0" w:color="auto"/>
        <w:right w:val="none" w:sz="0" w:space="0" w:color="auto"/>
      </w:divBdr>
    </w:div>
    <w:div w:id="522670844">
      <w:bodyDiv w:val="1"/>
      <w:marLeft w:val="0"/>
      <w:marRight w:val="0"/>
      <w:marTop w:val="0"/>
      <w:marBottom w:val="0"/>
      <w:divBdr>
        <w:top w:val="none" w:sz="0" w:space="0" w:color="auto"/>
        <w:left w:val="none" w:sz="0" w:space="0" w:color="auto"/>
        <w:bottom w:val="none" w:sz="0" w:space="0" w:color="auto"/>
        <w:right w:val="none" w:sz="0" w:space="0" w:color="auto"/>
      </w:divBdr>
      <w:divsChild>
        <w:div w:id="555891377">
          <w:marLeft w:val="0"/>
          <w:marRight w:val="0"/>
          <w:marTop w:val="0"/>
          <w:marBottom w:val="0"/>
          <w:divBdr>
            <w:top w:val="none" w:sz="0" w:space="0" w:color="auto"/>
            <w:left w:val="none" w:sz="0" w:space="0" w:color="auto"/>
            <w:bottom w:val="none" w:sz="0" w:space="0" w:color="auto"/>
            <w:right w:val="none" w:sz="0" w:space="0" w:color="auto"/>
          </w:divBdr>
          <w:divsChild>
            <w:div w:id="789977534">
              <w:marLeft w:val="0"/>
              <w:marRight w:val="0"/>
              <w:marTop w:val="0"/>
              <w:marBottom w:val="225"/>
              <w:divBdr>
                <w:top w:val="none" w:sz="0" w:space="0" w:color="auto"/>
                <w:left w:val="none" w:sz="0" w:space="0" w:color="auto"/>
                <w:bottom w:val="none" w:sz="0" w:space="0" w:color="auto"/>
                <w:right w:val="none" w:sz="0" w:space="0" w:color="auto"/>
              </w:divBdr>
            </w:div>
          </w:divsChild>
        </w:div>
        <w:div w:id="1245644221">
          <w:marLeft w:val="0"/>
          <w:marRight w:val="0"/>
          <w:marTop w:val="0"/>
          <w:marBottom w:val="0"/>
          <w:divBdr>
            <w:top w:val="none" w:sz="0" w:space="0" w:color="auto"/>
            <w:left w:val="none" w:sz="0" w:space="0" w:color="auto"/>
            <w:bottom w:val="none" w:sz="0" w:space="0" w:color="auto"/>
            <w:right w:val="none" w:sz="0" w:space="0" w:color="auto"/>
          </w:divBdr>
          <w:divsChild>
            <w:div w:id="12080341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9456567">
      <w:bodyDiv w:val="1"/>
      <w:marLeft w:val="0"/>
      <w:marRight w:val="0"/>
      <w:marTop w:val="0"/>
      <w:marBottom w:val="0"/>
      <w:divBdr>
        <w:top w:val="none" w:sz="0" w:space="0" w:color="auto"/>
        <w:left w:val="none" w:sz="0" w:space="0" w:color="auto"/>
        <w:bottom w:val="none" w:sz="0" w:space="0" w:color="auto"/>
        <w:right w:val="none" w:sz="0" w:space="0" w:color="auto"/>
      </w:divBdr>
    </w:div>
    <w:div w:id="565995707">
      <w:bodyDiv w:val="1"/>
      <w:marLeft w:val="0"/>
      <w:marRight w:val="0"/>
      <w:marTop w:val="0"/>
      <w:marBottom w:val="0"/>
      <w:divBdr>
        <w:top w:val="none" w:sz="0" w:space="0" w:color="auto"/>
        <w:left w:val="none" w:sz="0" w:space="0" w:color="auto"/>
        <w:bottom w:val="none" w:sz="0" w:space="0" w:color="auto"/>
        <w:right w:val="none" w:sz="0" w:space="0" w:color="auto"/>
      </w:divBdr>
    </w:div>
    <w:div w:id="578832076">
      <w:bodyDiv w:val="1"/>
      <w:marLeft w:val="0"/>
      <w:marRight w:val="0"/>
      <w:marTop w:val="0"/>
      <w:marBottom w:val="0"/>
      <w:divBdr>
        <w:top w:val="none" w:sz="0" w:space="0" w:color="auto"/>
        <w:left w:val="none" w:sz="0" w:space="0" w:color="auto"/>
        <w:bottom w:val="none" w:sz="0" w:space="0" w:color="auto"/>
        <w:right w:val="none" w:sz="0" w:space="0" w:color="auto"/>
      </w:divBdr>
    </w:div>
    <w:div w:id="603877661">
      <w:bodyDiv w:val="1"/>
      <w:marLeft w:val="0"/>
      <w:marRight w:val="0"/>
      <w:marTop w:val="0"/>
      <w:marBottom w:val="0"/>
      <w:divBdr>
        <w:top w:val="none" w:sz="0" w:space="0" w:color="auto"/>
        <w:left w:val="none" w:sz="0" w:space="0" w:color="auto"/>
        <w:bottom w:val="none" w:sz="0" w:space="0" w:color="auto"/>
        <w:right w:val="none" w:sz="0" w:space="0" w:color="auto"/>
      </w:divBdr>
    </w:div>
    <w:div w:id="608895147">
      <w:bodyDiv w:val="1"/>
      <w:marLeft w:val="0"/>
      <w:marRight w:val="0"/>
      <w:marTop w:val="0"/>
      <w:marBottom w:val="0"/>
      <w:divBdr>
        <w:top w:val="none" w:sz="0" w:space="0" w:color="auto"/>
        <w:left w:val="none" w:sz="0" w:space="0" w:color="auto"/>
        <w:bottom w:val="none" w:sz="0" w:space="0" w:color="auto"/>
        <w:right w:val="none" w:sz="0" w:space="0" w:color="auto"/>
      </w:divBdr>
    </w:div>
    <w:div w:id="615211736">
      <w:bodyDiv w:val="1"/>
      <w:marLeft w:val="0"/>
      <w:marRight w:val="0"/>
      <w:marTop w:val="0"/>
      <w:marBottom w:val="0"/>
      <w:divBdr>
        <w:top w:val="none" w:sz="0" w:space="0" w:color="auto"/>
        <w:left w:val="none" w:sz="0" w:space="0" w:color="auto"/>
        <w:bottom w:val="none" w:sz="0" w:space="0" w:color="auto"/>
        <w:right w:val="none" w:sz="0" w:space="0" w:color="auto"/>
      </w:divBdr>
    </w:div>
    <w:div w:id="640424068">
      <w:bodyDiv w:val="1"/>
      <w:marLeft w:val="0"/>
      <w:marRight w:val="0"/>
      <w:marTop w:val="0"/>
      <w:marBottom w:val="0"/>
      <w:divBdr>
        <w:top w:val="none" w:sz="0" w:space="0" w:color="auto"/>
        <w:left w:val="none" w:sz="0" w:space="0" w:color="auto"/>
        <w:bottom w:val="none" w:sz="0" w:space="0" w:color="auto"/>
        <w:right w:val="none" w:sz="0" w:space="0" w:color="auto"/>
      </w:divBdr>
    </w:div>
    <w:div w:id="673537525">
      <w:bodyDiv w:val="1"/>
      <w:marLeft w:val="0"/>
      <w:marRight w:val="0"/>
      <w:marTop w:val="0"/>
      <w:marBottom w:val="0"/>
      <w:divBdr>
        <w:top w:val="none" w:sz="0" w:space="0" w:color="auto"/>
        <w:left w:val="none" w:sz="0" w:space="0" w:color="auto"/>
        <w:bottom w:val="none" w:sz="0" w:space="0" w:color="auto"/>
        <w:right w:val="none" w:sz="0" w:space="0" w:color="auto"/>
      </w:divBdr>
    </w:div>
    <w:div w:id="693925709">
      <w:bodyDiv w:val="1"/>
      <w:marLeft w:val="0"/>
      <w:marRight w:val="0"/>
      <w:marTop w:val="0"/>
      <w:marBottom w:val="0"/>
      <w:divBdr>
        <w:top w:val="none" w:sz="0" w:space="0" w:color="auto"/>
        <w:left w:val="none" w:sz="0" w:space="0" w:color="auto"/>
        <w:bottom w:val="none" w:sz="0" w:space="0" w:color="auto"/>
        <w:right w:val="none" w:sz="0" w:space="0" w:color="auto"/>
      </w:divBdr>
    </w:div>
    <w:div w:id="698942986">
      <w:bodyDiv w:val="1"/>
      <w:marLeft w:val="0"/>
      <w:marRight w:val="0"/>
      <w:marTop w:val="0"/>
      <w:marBottom w:val="0"/>
      <w:divBdr>
        <w:top w:val="none" w:sz="0" w:space="0" w:color="auto"/>
        <w:left w:val="none" w:sz="0" w:space="0" w:color="auto"/>
        <w:bottom w:val="none" w:sz="0" w:space="0" w:color="auto"/>
        <w:right w:val="none" w:sz="0" w:space="0" w:color="auto"/>
      </w:divBdr>
    </w:div>
    <w:div w:id="889419639">
      <w:bodyDiv w:val="1"/>
      <w:marLeft w:val="0"/>
      <w:marRight w:val="0"/>
      <w:marTop w:val="0"/>
      <w:marBottom w:val="0"/>
      <w:divBdr>
        <w:top w:val="none" w:sz="0" w:space="0" w:color="auto"/>
        <w:left w:val="none" w:sz="0" w:space="0" w:color="auto"/>
        <w:bottom w:val="none" w:sz="0" w:space="0" w:color="auto"/>
        <w:right w:val="none" w:sz="0" w:space="0" w:color="auto"/>
      </w:divBdr>
    </w:div>
    <w:div w:id="905532088">
      <w:bodyDiv w:val="1"/>
      <w:marLeft w:val="0"/>
      <w:marRight w:val="0"/>
      <w:marTop w:val="0"/>
      <w:marBottom w:val="0"/>
      <w:divBdr>
        <w:top w:val="none" w:sz="0" w:space="0" w:color="auto"/>
        <w:left w:val="none" w:sz="0" w:space="0" w:color="auto"/>
        <w:bottom w:val="none" w:sz="0" w:space="0" w:color="auto"/>
        <w:right w:val="none" w:sz="0" w:space="0" w:color="auto"/>
      </w:divBdr>
    </w:div>
    <w:div w:id="916280974">
      <w:bodyDiv w:val="1"/>
      <w:marLeft w:val="0"/>
      <w:marRight w:val="0"/>
      <w:marTop w:val="0"/>
      <w:marBottom w:val="0"/>
      <w:divBdr>
        <w:top w:val="none" w:sz="0" w:space="0" w:color="auto"/>
        <w:left w:val="none" w:sz="0" w:space="0" w:color="auto"/>
        <w:bottom w:val="none" w:sz="0" w:space="0" w:color="auto"/>
        <w:right w:val="none" w:sz="0" w:space="0" w:color="auto"/>
      </w:divBdr>
      <w:divsChild>
        <w:div w:id="71319202">
          <w:marLeft w:val="0"/>
          <w:marRight w:val="0"/>
          <w:marTop w:val="0"/>
          <w:marBottom w:val="0"/>
          <w:divBdr>
            <w:top w:val="none" w:sz="0" w:space="0" w:color="auto"/>
            <w:left w:val="none" w:sz="0" w:space="0" w:color="auto"/>
            <w:bottom w:val="none" w:sz="0" w:space="0" w:color="auto"/>
            <w:right w:val="none" w:sz="0" w:space="0" w:color="auto"/>
          </w:divBdr>
        </w:div>
        <w:div w:id="119692252">
          <w:marLeft w:val="0"/>
          <w:marRight w:val="0"/>
          <w:marTop w:val="0"/>
          <w:marBottom w:val="0"/>
          <w:divBdr>
            <w:top w:val="none" w:sz="0" w:space="0" w:color="auto"/>
            <w:left w:val="none" w:sz="0" w:space="0" w:color="auto"/>
            <w:bottom w:val="none" w:sz="0" w:space="0" w:color="auto"/>
            <w:right w:val="none" w:sz="0" w:space="0" w:color="auto"/>
          </w:divBdr>
        </w:div>
        <w:div w:id="132453369">
          <w:marLeft w:val="0"/>
          <w:marRight w:val="0"/>
          <w:marTop w:val="0"/>
          <w:marBottom w:val="0"/>
          <w:divBdr>
            <w:top w:val="none" w:sz="0" w:space="0" w:color="auto"/>
            <w:left w:val="none" w:sz="0" w:space="0" w:color="auto"/>
            <w:bottom w:val="none" w:sz="0" w:space="0" w:color="auto"/>
            <w:right w:val="none" w:sz="0" w:space="0" w:color="auto"/>
          </w:divBdr>
        </w:div>
        <w:div w:id="237137154">
          <w:marLeft w:val="0"/>
          <w:marRight w:val="0"/>
          <w:marTop w:val="0"/>
          <w:marBottom w:val="0"/>
          <w:divBdr>
            <w:top w:val="none" w:sz="0" w:space="0" w:color="auto"/>
            <w:left w:val="none" w:sz="0" w:space="0" w:color="auto"/>
            <w:bottom w:val="none" w:sz="0" w:space="0" w:color="auto"/>
            <w:right w:val="none" w:sz="0" w:space="0" w:color="auto"/>
          </w:divBdr>
        </w:div>
        <w:div w:id="238634071">
          <w:marLeft w:val="0"/>
          <w:marRight w:val="0"/>
          <w:marTop w:val="0"/>
          <w:marBottom w:val="0"/>
          <w:divBdr>
            <w:top w:val="none" w:sz="0" w:space="0" w:color="auto"/>
            <w:left w:val="none" w:sz="0" w:space="0" w:color="auto"/>
            <w:bottom w:val="none" w:sz="0" w:space="0" w:color="auto"/>
            <w:right w:val="none" w:sz="0" w:space="0" w:color="auto"/>
          </w:divBdr>
        </w:div>
        <w:div w:id="451561320">
          <w:marLeft w:val="0"/>
          <w:marRight w:val="0"/>
          <w:marTop w:val="0"/>
          <w:marBottom w:val="0"/>
          <w:divBdr>
            <w:top w:val="none" w:sz="0" w:space="0" w:color="auto"/>
            <w:left w:val="none" w:sz="0" w:space="0" w:color="auto"/>
            <w:bottom w:val="none" w:sz="0" w:space="0" w:color="auto"/>
            <w:right w:val="none" w:sz="0" w:space="0" w:color="auto"/>
          </w:divBdr>
        </w:div>
        <w:div w:id="497500817">
          <w:marLeft w:val="0"/>
          <w:marRight w:val="0"/>
          <w:marTop w:val="0"/>
          <w:marBottom w:val="0"/>
          <w:divBdr>
            <w:top w:val="none" w:sz="0" w:space="0" w:color="auto"/>
            <w:left w:val="none" w:sz="0" w:space="0" w:color="auto"/>
            <w:bottom w:val="none" w:sz="0" w:space="0" w:color="auto"/>
            <w:right w:val="none" w:sz="0" w:space="0" w:color="auto"/>
          </w:divBdr>
        </w:div>
        <w:div w:id="591859875">
          <w:marLeft w:val="0"/>
          <w:marRight w:val="0"/>
          <w:marTop w:val="0"/>
          <w:marBottom w:val="0"/>
          <w:divBdr>
            <w:top w:val="none" w:sz="0" w:space="0" w:color="auto"/>
            <w:left w:val="none" w:sz="0" w:space="0" w:color="auto"/>
            <w:bottom w:val="none" w:sz="0" w:space="0" w:color="auto"/>
            <w:right w:val="none" w:sz="0" w:space="0" w:color="auto"/>
          </w:divBdr>
        </w:div>
        <w:div w:id="623198452">
          <w:marLeft w:val="0"/>
          <w:marRight w:val="0"/>
          <w:marTop w:val="0"/>
          <w:marBottom w:val="0"/>
          <w:divBdr>
            <w:top w:val="none" w:sz="0" w:space="0" w:color="auto"/>
            <w:left w:val="none" w:sz="0" w:space="0" w:color="auto"/>
            <w:bottom w:val="none" w:sz="0" w:space="0" w:color="auto"/>
            <w:right w:val="none" w:sz="0" w:space="0" w:color="auto"/>
          </w:divBdr>
        </w:div>
        <w:div w:id="662439113">
          <w:marLeft w:val="0"/>
          <w:marRight w:val="0"/>
          <w:marTop w:val="0"/>
          <w:marBottom w:val="0"/>
          <w:divBdr>
            <w:top w:val="none" w:sz="0" w:space="0" w:color="auto"/>
            <w:left w:val="none" w:sz="0" w:space="0" w:color="auto"/>
            <w:bottom w:val="none" w:sz="0" w:space="0" w:color="auto"/>
            <w:right w:val="none" w:sz="0" w:space="0" w:color="auto"/>
          </w:divBdr>
        </w:div>
        <w:div w:id="740635690">
          <w:marLeft w:val="0"/>
          <w:marRight w:val="0"/>
          <w:marTop w:val="0"/>
          <w:marBottom w:val="0"/>
          <w:divBdr>
            <w:top w:val="none" w:sz="0" w:space="0" w:color="auto"/>
            <w:left w:val="none" w:sz="0" w:space="0" w:color="auto"/>
            <w:bottom w:val="none" w:sz="0" w:space="0" w:color="auto"/>
            <w:right w:val="none" w:sz="0" w:space="0" w:color="auto"/>
          </w:divBdr>
        </w:div>
        <w:div w:id="775634026">
          <w:marLeft w:val="0"/>
          <w:marRight w:val="0"/>
          <w:marTop w:val="0"/>
          <w:marBottom w:val="0"/>
          <w:divBdr>
            <w:top w:val="none" w:sz="0" w:space="0" w:color="auto"/>
            <w:left w:val="none" w:sz="0" w:space="0" w:color="auto"/>
            <w:bottom w:val="none" w:sz="0" w:space="0" w:color="auto"/>
            <w:right w:val="none" w:sz="0" w:space="0" w:color="auto"/>
          </w:divBdr>
        </w:div>
        <w:div w:id="823548431">
          <w:marLeft w:val="0"/>
          <w:marRight w:val="0"/>
          <w:marTop w:val="0"/>
          <w:marBottom w:val="0"/>
          <w:divBdr>
            <w:top w:val="none" w:sz="0" w:space="0" w:color="auto"/>
            <w:left w:val="none" w:sz="0" w:space="0" w:color="auto"/>
            <w:bottom w:val="none" w:sz="0" w:space="0" w:color="auto"/>
            <w:right w:val="none" w:sz="0" w:space="0" w:color="auto"/>
          </w:divBdr>
        </w:div>
        <w:div w:id="930314810">
          <w:marLeft w:val="0"/>
          <w:marRight w:val="0"/>
          <w:marTop w:val="0"/>
          <w:marBottom w:val="0"/>
          <w:divBdr>
            <w:top w:val="none" w:sz="0" w:space="0" w:color="auto"/>
            <w:left w:val="none" w:sz="0" w:space="0" w:color="auto"/>
            <w:bottom w:val="none" w:sz="0" w:space="0" w:color="auto"/>
            <w:right w:val="none" w:sz="0" w:space="0" w:color="auto"/>
          </w:divBdr>
        </w:div>
        <w:div w:id="991712797">
          <w:marLeft w:val="0"/>
          <w:marRight w:val="0"/>
          <w:marTop w:val="0"/>
          <w:marBottom w:val="0"/>
          <w:divBdr>
            <w:top w:val="none" w:sz="0" w:space="0" w:color="auto"/>
            <w:left w:val="none" w:sz="0" w:space="0" w:color="auto"/>
            <w:bottom w:val="none" w:sz="0" w:space="0" w:color="auto"/>
            <w:right w:val="none" w:sz="0" w:space="0" w:color="auto"/>
          </w:divBdr>
        </w:div>
        <w:div w:id="1048644671">
          <w:marLeft w:val="0"/>
          <w:marRight w:val="0"/>
          <w:marTop w:val="0"/>
          <w:marBottom w:val="0"/>
          <w:divBdr>
            <w:top w:val="none" w:sz="0" w:space="0" w:color="auto"/>
            <w:left w:val="none" w:sz="0" w:space="0" w:color="auto"/>
            <w:bottom w:val="none" w:sz="0" w:space="0" w:color="auto"/>
            <w:right w:val="none" w:sz="0" w:space="0" w:color="auto"/>
          </w:divBdr>
        </w:div>
        <w:div w:id="1084182555">
          <w:marLeft w:val="0"/>
          <w:marRight w:val="0"/>
          <w:marTop w:val="0"/>
          <w:marBottom w:val="0"/>
          <w:divBdr>
            <w:top w:val="none" w:sz="0" w:space="0" w:color="auto"/>
            <w:left w:val="none" w:sz="0" w:space="0" w:color="auto"/>
            <w:bottom w:val="none" w:sz="0" w:space="0" w:color="auto"/>
            <w:right w:val="none" w:sz="0" w:space="0" w:color="auto"/>
          </w:divBdr>
        </w:div>
        <w:div w:id="1117022957">
          <w:marLeft w:val="0"/>
          <w:marRight w:val="0"/>
          <w:marTop w:val="0"/>
          <w:marBottom w:val="0"/>
          <w:divBdr>
            <w:top w:val="none" w:sz="0" w:space="0" w:color="auto"/>
            <w:left w:val="none" w:sz="0" w:space="0" w:color="auto"/>
            <w:bottom w:val="none" w:sz="0" w:space="0" w:color="auto"/>
            <w:right w:val="none" w:sz="0" w:space="0" w:color="auto"/>
          </w:divBdr>
        </w:div>
        <w:div w:id="1177383291">
          <w:marLeft w:val="0"/>
          <w:marRight w:val="0"/>
          <w:marTop w:val="0"/>
          <w:marBottom w:val="0"/>
          <w:divBdr>
            <w:top w:val="none" w:sz="0" w:space="0" w:color="auto"/>
            <w:left w:val="none" w:sz="0" w:space="0" w:color="auto"/>
            <w:bottom w:val="none" w:sz="0" w:space="0" w:color="auto"/>
            <w:right w:val="none" w:sz="0" w:space="0" w:color="auto"/>
          </w:divBdr>
        </w:div>
        <w:div w:id="1293176577">
          <w:marLeft w:val="0"/>
          <w:marRight w:val="0"/>
          <w:marTop w:val="0"/>
          <w:marBottom w:val="0"/>
          <w:divBdr>
            <w:top w:val="none" w:sz="0" w:space="0" w:color="auto"/>
            <w:left w:val="none" w:sz="0" w:space="0" w:color="auto"/>
            <w:bottom w:val="none" w:sz="0" w:space="0" w:color="auto"/>
            <w:right w:val="none" w:sz="0" w:space="0" w:color="auto"/>
          </w:divBdr>
        </w:div>
        <w:div w:id="1295141094">
          <w:marLeft w:val="0"/>
          <w:marRight w:val="0"/>
          <w:marTop w:val="0"/>
          <w:marBottom w:val="0"/>
          <w:divBdr>
            <w:top w:val="none" w:sz="0" w:space="0" w:color="auto"/>
            <w:left w:val="none" w:sz="0" w:space="0" w:color="auto"/>
            <w:bottom w:val="none" w:sz="0" w:space="0" w:color="auto"/>
            <w:right w:val="none" w:sz="0" w:space="0" w:color="auto"/>
          </w:divBdr>
        </w:div>
        <w:div w:id="1410270638">
          <w:marLeft w:val="0"/>
          <w:marRight w:val="0"/>
          <w:marTop w:val="0"/>
          <w:marBottom w:val="0"/>
          <w:divBdr>
            <w:top w:val="none" w:sz="0" w:space="0" w:color="auto"/>
            <w:left w:val="none" w:sz="0" w:space="0" w:color="auto"/>
            <w:bottom w:val="none" w:sz="0" w:space="0" w:color="auto"/>
            <w:right w:val="none" w:sz="0" w:space="0" w:color="auto"/>
          </w:divBdr>
        </w:div>
        <w:div w:id="1417558998">
          <w:marLeft w:val="0"/>
          <w:marRight w:val="0"/>
          <w:marTop w:val="0"/>
          <w:marBottom w:val="0"/>
          <w:divBdr>
            <w:top w:val="none" w:sz="0" w:space="0" w:color="auto"/>
            <w:left w:val="none" w:sz="0" w:space="0" w:color="auto"/>
            <w:bottom w:val="none" w:sz="0" w:space="0" w:color="auto"/>
            <w:right w:val="none" w:sz="0" w:space="0" w:color="auto"/>
          </w:divBdr>
        </w:div>
        <w:div w:id="1432579937">
          <w:marLeft w:val="0"/>
          <w:marRight w:val="0"/>
          <w:marTop w:val="0"/>
          <w:marBottom w:val="0"/>
          <w:divBdr>
            <w:top w:val="none" w:sz="0" w:space="0" w:color="auto"/>
            <w:left w:val="none" w:sz="0" w:space="0" w:color="auto"/>
            <w:bottom w:val="none" w:sz="0" w:space="0" w:color="auto"/>
            <w:right w:val="none" w:sz="0" w:space="0" w:color="auto"/>
          </w:divBdr>
        </w:div>
        <w:div w:id="1514221551">
          <w:marLeft w:val="0"/>
          <w:marRight w:val="0"/>
          <w:marTop w:val="0"/>
          <w:marBottom w:val="0"/>
          <w:divBdr>
            <w:top w:val="none" w:sz="0" w:space="0" w:color="auto"/>
            <w:left w:val="none" w:sz="0" w:space="0" w:color="auto"/>
            <w:bottom w:val="none" w:sz="0" w:space="0" w:color="auto"/>
            <w:right w:val="none" w:sz="0" w:space="0" w:color="auto"/>
          </w:divBdr>
        </w:div>
        <w:div w:id="1570536023">
          <w:marLeft w:val="0"/>
          <w:marRight w:val="0"/>
          <w:marTop w:val="0"/>
          <w:marBottom w:val="0"/>
          <w:divBdr>
            <w:top w:val="none" w:sz="0" w:space="0" w:color="auto"/>
            <w:left w:val="none" w:sz="0" w:space="0" w:color="auto"/>
            <w:bottom w:val="none" w:sz="0" w:space="0" w:color="auto"/>
            <w:right w:val="none" w:sz="0" w:space="0" w:color="auto"/>
          </w:divBdr>
        </w:div>
        <w:div w:id="1609657787">
          <w:marLeft w:val="0"/>
          <w:marRight w:val="0"/>
          <w:marTop w:val="0"/>
          <w:marBottom w:val="0"/>
          <w:divBdr>
            <w:top w:val="none" w:sz="0" w:space="0" w:color="auto"/>
            <w:left w:val="none" w:sz="0" w:space="0" w:color="auto"/>
            <w:bottom w:val="none" w:sz="0" w:space="0" w:color="auto"/>
            <w:right w:val="none" w:sz="0" w:space="0" w:color="auto"/>
          </w:divBdr>
        </w:div>
        <w:div w:id="1652170550">
          <w:marLeft w:val="0"/>
          <w:marRight w:val="0"/>
          <w:marTop w:val="0"/>
          <w:marBottom w:val="0"/>
          <w:divBdr>
            <w:top w:val="none" w:sz="0" w:space="0" w:color="auto"/>
            <w:left w:val="none" w:sz="0" w:space="0" w:color="auto"/>
            <w:bottom w:val="none" w:sz="0" w:space="0" w:color="auto"/>
            <w:right w:val="none" w:sz="0" w:space="0" w:color="auto"/>
          </w:divBdr>
        </w:div>
        <w:div w:id="1666470814">
          <w:marLeft w:val="0"/>
          <w:marRight w:val="0"/>
          <w:marTop w:val="0"/>
          <w:marBottom w:val="0"/>
          <w:divBdr>
            <w:top w:val="none" w:sz="0" w:space="0" w:color="auto"/>
            <w:left w:val="none" w:sz="0" w:space="0" w:color="auto"/>
            <w:bottom w:val="none" w:sz="0" w:space="0" w:color="auto"/>
            <w:right w:val="none" w:sz="0" w:space="0" w:color="auto"/>
          </w:divBdr>
        </w:div>
        <w:div w:id="1703555292">
          <w:marLeft w:val="0"/>
          <w:marRight w:val="0"/>
          <w:marTop w:val="0"/>
          <w:marBottom w:val="0"/>
          <w:divBdr>
            <w:top w:val="none" w:sz="0" w:space="0" w:color="auto"/>
            <w:left w:val="none" w:sz="0" w:space="0" w:color="auto"/>
            <w:bottom w:val="none" w:sz="0" w:space="0" w:color="auto"/>
            <w:right w:val="none" w:sz="0" w:space="0" w:color="auto"/>
          </w:divBdr>
        </w:div>
        <w:div w:id="1753962576">
          <w:marLeft w:val="0"/>
          <w:marRight w:val="0"/>
          <w:marTop w:val="0"/>
          <w:marBottom w:val="0"/>
          <w:divBdr>
            <w:top w:val="none" w:sz="0" w:space="0" w:color="auto"/>
            <w:left w:val="none" w:sz="0" w:space="0" w:color="auto"/>
            <w:bottom w:val="none" w:sz="0" w:space="0" w:color="auto"/>
            <w:right w:val="none" w:sz="0" w:space="0" w:color="auto"/>
          </w:divBdr>
        </w:div>
        <w:div w:id="1789808787">
          <w:marLeft w:val="0"/>
          <w:marRight w:val="0"/>
          <w:marTop w:val="0"/>
          <w:marBottom w:val="0"/>
          <w:divBdr>
            <w:top w:val="none" w:sz="0" w:space="0" w:color="auto"/>
            <w:left w:val="none" w:sz="0" w:space="0" w:color="auto"/>
            <w:bottom w:val="none" w:sz="0" w:space="0" w:color="auto"/>
            <w:right w:val="none" w:sz="0" w:space="0" w:color="auto"/>
          </w:divBdr>
        </w:div>
        <w:div w:id="1816484981">
          <w:marLeft w:val="0"/>
          <w:marRight w:val="0"/>
          <w:marTop w:val="0"/>
          <w:marBottom w:val="0"/>
          <w:divBdr>
            <w:top w:val="none" w:sz="0" w:space="0" w:color="auto"/>
            <w:left w:val="none" w:sz="0" w:space="0" w:color="auto"/>
            <w:bottom w:val="none" w:sz="0" w:space="0" w:color="auto"/>
            <w:right w:val="none" w:sz="0" w:space="0" w:color="auto"/>
          </w:divBdr>
        </w:div>
        <w:div w:id="1824008045">
          <w:marLeft w:val="0"/>
          <w:marRight w:val="0"/>
          <w:marTop w:val="0"/>
          <w:marBottom w:val="0"/>
          <w:divBdr>
            <w:top w:val="none" w:sz="0" w:space="0" w:color="auto"/>
            <w:left w:val="none" w:sz="0" w:space="0" w:color="auto"/>
            <w:bottom w:val="none" w:sz="0" w:space="0" w:color="auto"/>
            <w:right w:val="none" w:sz="0" w:space="0" w:color="auto"/>
          </w:divBdr>
        </w:div>
        <w:div w:id="1856579674">
          <w:marLeft w:val="0"/>
          <w:marRight w:val="0"/>
          <w:marTop w:val="0"/>
          <w:marBottom w:val="0"/>
          <w:divBdr>
            <w:top w:val="none" w:sz="0" w:space="0" w:color="auto"/>
            <w:left w:val="none" w:sz="0" w:space="0" w:color="auto"/>
            <w:bottom w:val="none" w:sz="0" w:space="0" w:color="auto"/>
            <w:right w:val="none" w:sz="0" w:space="0" w:color="auto"/>
          </w:divBdr>
        </w:div>
        <w:div w:id="1903906884">
          <w:marLeft w:val="0"/>
          <w:marRight w:val="0"/>
          <w:marTop w:val="0"/>
          <w:marBottom w:val="0"/>
          <w:divBdr>
            <w:top w:val="none" w:sz="0" w:space="0" w:color="auto"/>
            <w:left w:val="none" w:sz="0" w:space="0" w:color="auto"/>
            <w:bottom w:val="none" w:sz="0" w:space="0" w:color="auto"/>
            <w:right w:val="none" w:sz="0" w:space="0" w:color="auto"/>
          </w:divBdr>
        </w:div>
        <w:div w:id="2048482623">
          <w:marLeft w:val="0"/>
          <w:marRight w:val="0"/>
          <w:marTop w:val="0"/>
          <w:marBottom w:val="0"/>
          <w:divBdr>
            <w:top w:val="none" w:sz="0" w:space="0" w:color="auto"/>
            <w:left w:val="none" w:sz="0" w:space="0" w:color="auto"/>
            <w:bottom w:val="none" w:sz="0" w:space="0" w:color="auto"/>
            <w:right w:val="none" w:sz="0" w:space="0" w:color="auto"/>
          </w:divBdr>
        </w:div>
        <w:div w:id="2065833024">
          <w:marLeft w:val="0"/>
          <w:marRight w:val="0"/>
          <w:marTop w:val="0"/>
          <w:marBottom w:val="0"/>
          <w:divBdr>
            <w:top w:val="none" w:sz="0" w:space="0" w:color="auto"/>
            <w:left w:val="none" w:sz="0" w:space="0" w:color="auto"/>
            <w:bottom w:val="none" w:sz="0" w:space="0" w:color="auto"/>
            <w:right w:val="none" w:sz="0" w:space="0" w:color="auto"/>
          </w:divBdr>
        </w:div>
        <w:div w:id="2108117143">
          <w:marLeft w:val="0"/>
          <w:marRight w:val="0"/>
          <w:marTop w:val="0"/>
          <w:marBottom w:val="0"/>
          <w:divBdr>
            <w:top w:val="none" w:sz="0" w:space="0" w:color="auto"/>
            <w:left w:val="none" w:sz="0" w:space="0" w:color="auto"/>
            <w:bottom w:val="none" w:sz="0" w:space="0" w:color="auto"/>
            <w:right w:val="none" w:sz="0" w:space="0" w:color="auto"/>
          </w:divBdr>
        </w:div>
        <w:div w:id="2139109241">
          <w:marLeft w:val="0"/>
          <w:marRight w:val="0"/>
          <w:marTop w:val="0"/>
          <w:marBottom w:val="0"/>
          <w:divBdr>
            <w:top w:val="none" w:sz="0" w:space="0" w:color="auto"/>
            <w:left w:val="none" w:sz="0" w:space="0" w:color="auto"/>
            <w:bottom w:val="none" w:sz="0" w:space="0" w:color="auto"/>
            <w:right w:val="none" w:sz="0" w:space="0" w:color="auto"/>
          </w:divBdr>
        </w:div>
      </w:divsChild>
    </w:div>
    <w:div w:id="974988995">
      <w:bodyDiv w:val="1"/>
      <w:marLeft w:val="0"/>
      <w:marRight w:val="0"/>
      <w:marTop w:val="0"/>
      <w:marBottom w:val="0"/>
      <w:divBdr>
        <w:top w:val="none" w:sz="0" w:space="0" w:color="auto"/>
        <w:left w:val="none" w:sz="0" w:space="0" w:color="auto"/>
        <w:bottom w:val="none" w:sz="0" w:space="0" w:color="auto"/>
        <w:right w:val="none" w:sz="0" w:space="0" w:color="auto"/>
      </w:divBdr>
    </w:div>
    <w:div w:id="979456669">
      <w:bodyDiv w:val="1"/>
      <w:marLeft w:val="0"/>
      <w:marRight w:val="0"/>
      <w:marTop w:val="0"/>
      <w:marBottom w:val="0"/>
      <w:divBdr>
        <w:top w:val="none" w:sz="0" w:space="0" w:color="auto"/>
        <w:left w:val="none" w:sz="0" w:space="0" w:color="auto"/>
        <w:bottom w:val="none" w:sz="0" w:space="0" w:color="auto"/>
        <w:right w:val="none" w:sz="0" w:space="0" w:color="auto"/>
      </w:divBdr>
    </w:div>
    <w:div w:id="990867880">
      <w:bodyDiv w:val="1"/>
      <w:marLeft w:val="0"/>
      <w:marRight w:val="0"/>
      <w:marTop w:val="0"/>
      <w:marBottom w:val="0"/>
      <w:divBdr>
        <w:top w:val="none" w:sz="0" w:space="0" w:color="auto"/>
        <w:left w:val="none" w:sz="0" w:space="0" w:color="auto"/>
        <w:bottom w:val="none" w:sz="0" w:space="0" w:color="auto"/>
        <w:right w:val="none" w:sz="0" w:space="0" w:color="auto"/>
      </w:divBdr>
    </w:div>
    <w:div w:id="1031226322">
      <w:bodyDiv w:val="1"/>
      <w:marLeft w:val="0"/>
      <w:marRight w:val="0"/>
      <w:marTop w:val="0"/>
      <w:marBottom w:val="0"/>
      <w:divBdr>
        <w:top w:val="none" w:sz="0" w:space="0" w:color="auto"/>
        <w:left w:val="none" w:sz="0" w:space="0" w:color="auto"/>
        <w:bottom w:val="none" w:sz="0" w:space="0" w:color="auto"/>
        <w:right w:val="none" w:sz="0" w:space="0" w:color="auto"/>
      </w:divBdr>
    </w:div>
    <w:div w:id="1078479932">
      <w:bodyDiv w:val="1"/>
      <w:marLeft w:val="0"/>
      <w:marRight w:val="0"/>
      <w:marTop w:val="0"/>
      <w:marBottom w:val="0"/>
      <w:divBdr>
        <w:top w:val="none" w:sz="0" w:space="0" w:color="auto"/>
        <w:left w:val="none" w:sz="0" w:space="0" w:color="auto"/>
        <w:bottom w:val="none" w:sz="0" w:space="0" w:color="auto"/>
        <w:right w:val="none" w:sz="0" w:space="0" w:color="auto"/>
      </w:divBdr>
    </w:div>
    <w:div w:id="1089497175">
      <w:bodyDiv w:val="1"/>
      <w:marLeft w:val="0"/>
      <w:marRight w:val="0"/>
      <w:marTop w:val="0"/>
      <w:marBottom w:val="0"/>
      <w:divBdr>
        <w:top w:val="none" w:sz="0" w:space="0" w:color="auto"/>
        <w:left w:val="none" w:sz="0" w:space="0" w:color="auto"/>
        <w:bottom w:val="none" w:sz="0" w:space="0" w:color="auto"/>
        <w:right w:val="none" w:sz="0" w:space="0" w:color="auto"/>
      </w:divBdr>
    </w:div>
    <w:div w:id="1099175701">
      <w:bodyDiv w:val="1"/>
      <w:marLeft w:val="0"/>
      <w:marRight w:val="0"/>
      <w:marTop w:val="0"/>
      <w:marBottom w:val="0"/>
      <w:divBdr>
        <w:top w:val="none" w:sz="0" w:space="0" w:color="auto"/>
        <w:left w:val="none" w:sz="0" w:space="0" w:color="auto"/>
        <w:bottom w:val="none" w:sz="0" w:space="0" w:color="auto"/>
        <w:right w:val="none" w:sz="0" w:space="0" w:color="auto"/>
      </w:divBdr>
    </w:div>
    <w:div w:id="1215850964">
      <w:bodyDiv w:val="1"/>
      <w:marLeft w:val="0"/>
      <w:marRight w:val="0"/>
      <w:marTop w:val="0"/>
      <w:marBottom w:val="0"/>
      <w:divBdr>
        <w:top w:val="none" w:sz="0" w:space="0" w:color="auto"/>
        <w:left w:val="none" w:sz="0" w:space="0" w:color="auto"/>
        <w:bottom w:val="none" w:sz="0" w:space="0" w:color="auto"/>
        <w:right w:val="none" w:sz="0" w:space="0" w:color="auto"/>
      </w:divBdr>
    </w:div>
    <w:div w:id="1223325506">
      <w:bodyDiv w:val="1"/>
      <w:marLeft w:val="0"/>
      <w:marRight w:val="0"/>
      <w:marTop w:val="0"/>
      <w:marBottom w:val="0"/>
      <w:divBdr>
        <w:top w:val="none" w:sz="0" w:space="0" w:color="auto"/>
        <w:left w:val="none" w:sz="0" w:space="0" w:color="auto"/>
        <w:bottom w:val="none" w:sz="0" w:space="0" w:color="auto"/>
        <w:right w:val="none" w:sz="0" w:space="0" w:color="auto"/>
      </w:divBdr>
    </w:div>
    <w:div w:id="1243104931">
      <w:bodyDiv w:val="1"/>
      <w:marLeft w:val="0"/>
      <w:marRight w:val="0"/>
      <w:marTop w:val="0"/>
      <w:marBottom w:val="0"/>
      <w:divBdr>
        <w:top w:val="none" w:sz="0" w:space="0" w:color="auto"/>
        <w:left w:val="none" w:sz="0" w:space="0" w:color="auto"/>
        <w:bottom w:val="none" w:sz="0" w:space="0" w:color="auto"/>
        <w:right w:val="none" w:sz="0" w:space="0" w:color="auto"/>
      </w:divBdr>
    </w:div>
    <w:div w:id="1258906190">
      <w:bodyDiv w:val="1"/>
      <w:marLeft w:val="0"/>
      <w:marRight w:val="0"/>
      <w:marTop w:val="0"/>
      <w:marBottom w:val="0"/>
      <w:divBdr>
        <w:top w:val="none" w:sz="0" w:space="0" w:color="auto"/>
        <w:left w:val="none" w:sz="0" w:space="0" w:color="auto"/>
        <w:bottom w:val="none" w:sz="0" w:space="0" w:color="auto"/>
        <w:right w:val="none" w:sz="0" w:space="0" w:color="auto"/>
      </w:divBdr>
    </w:div>
    <w:div w:id="1325934217">
      <w:bodyDiv w:val="1"/>
      <w:marLeft w:val="0"/>
      <w:marRight w:val="0"/>
      <w:marTop w:val="0"/>
      <w:marBottom w:val="0"/>
      <w:divBdr>
        <w:top w:val="none" w:sz="0" w:space="0" w:color="auto"/>
        <w:left w:val="none" w:sz="0" w:space="0" w:color="auto"/>
        <w:bottom w:val="none" w:sz="0" w:space="0" w:color="auto"/>
        <w:right w:val="none" w:sz="0" w:space="0" w:color="auto"/>
      </w:divBdr>
    </w:div>
    <w:div w:id="1344015703">
      <w:bodyDiv w:val="1"/>
      <w:marLeft w:val="0"/>
      <w:marRight w:val="0"/>
      <w:marTop w:val="0"/>
      <w:marBottom w:val="0"/>
      <w:divBdr>
        <w:top w:val="none" w:sz="0" w:space="0" w:color="auto"/>
        <w:left w:val="none" w:sz="0" w:space="0" w:color="auto"/>
        <w:bottom w:val="none" w:sz="0" w:space="0" w:color="auto"/>
        <w:right w:val="none" w:sz="0" w:space="0" w:color="auto"/>
      </w:divBdr>
    </w:div>
    <w:div w:id="1529564889">
      <w:bodyDiv w:val="1"/>
      <w:marLeft w:val="0"/>
      <w:marRight w:val="0"/>
      <w:marTop w:val="0"/>
      <w:marBottom w:val="0"/>
      <w:divBdr>
        <w:top w:val="none" w:sz="0" w:space="0" w:color="auto"/>
        <w:left w:val="none" w:sz="0" w:space="0" w:color="auto"/>
        <w:bottom w:val="none" w:sz="0" w:space="0" w:color="auto"/>
        <w:right w:val="none" w:sz="0" w:space="0" w:color="auto"/>
      </w:divBdr>
    </w:div>
    <w:div w:id="1644845443">
      <w:bodyDiv w:val="1"/>
      <w:marLeft w:val="0"/>
      <w:marRight w:val="0"/>
      <w:marTop w:val="0"/>
      <w:marBottom w:val="0"/>
      <w:divBdr>
        <w:top w:val="none" w:sz="0" w:space="0" w:color="auto"/>
        <w:left w:val="none" w:sz="0" w:space="0" w:color="auto"/>
        <w:bottom w:val="none" w:sz="0" w:space="0" w:color="auto"/>
        <w:right w:val="none" w:sz="0" w:space="0" w:color="auto"/>
      </w:divBdr>
    </w:div>
    <w:div w:id="1663436660">
      <w:bodyDiv w:val="1"/>
      <w:marLeft w:val="0"/>
      <w:marRight w:val="0"/>
      <w:marTop w:val="0"/>
      <w:marBottom w:val="0"/>
      <w:divBdr>
        <w:top w:val="none" w:sz="0" w:space="0" w:color="auto"/>
        <w:left w:val="none" w:sz="0" w:space="0" w:color="auto"/>
        <w:bottom w:val="none" w:sz="0" w:space="0" w:color="auto"/>
        <w:right w:val="none" w:sz="0" w:space="0" w:color="auto"/>
      </w:divBdr>
    </w:div>
    <w:div w:id="1668482858">
      <w:bodyDiv w:val="1"/>
      <w:marLeft w:val="0"/>
      <w:marRight w:val="0"/>
      <w:marTop w:val="0"/>
      <w:marBottom w:val="0"/>
      <w:divBdr>
        <w:top w:val="none" w:sz="0" w:space="0" w:color="auto"/>
        <w:left w:val="none" w:sz="0" w:space="0" w:color="auto"/>
        <w:bottom w:val="none" w:sz="0" w:space="0" w:color="auto"/>
        <w:right w:val="none" w:sz="0" w:space="0" w:color="auto"/>
      </w:divBdr>
      <w:divsChild>
        <w:div w:id="30808418">
          <w:marLeft w:val="0"/>
          <w:marRight w:val="0"/>
          <w:marTop w:val="0"/>
          <w:marBottom w:val="0"/>
          <w:divBdr>
            <w:top w:val="none" w:sz="0" w:space="0" w:color="auto"/>
            <w:left w:val="none" w:sz="0" w:space="0" w:color="auto"/>
            <w:bottom w:val="none" w:sz="0" w:space="0" w:color="auto"/>
            <w:right w:val="none" w:sz="0" w:space="0" w:color="auto"/>
          </w:divBdr>
        </w:div>
        <w:div w:id="93089191">
          <w:marLeft w:val="0"/>
          <w:marRight w:val="0"/>
          <w:marTop w:val="0"/>
          <w:marBottom w:val="0"/>
          <w:divBdr>
            <w:top w:val="none" w:sz="0" w:space="0" w:color="auto"/>
            <w:left w:val="none" w:sz="0" w:space="0" w:color="auto"/>
            <w:bottom w:val="none" w:sz="0" w:space="0" w:color="auto"/>
            <w:right w:val="none" w:sz="0" w:space="0" w:color="auto"/>
          </w:divBdr>
        </w:div>
        <w:div w:id="113448197">
          <w:marLeft w:val="0"/>
          <w:marRight w:val="0"/>
          <w:marTop w:val="0"/>
          <w:marBottom w:val="0"/>
          <w:divBdr>
            <w:top w:val="none" w:sz="0" w:space="0" w:color="auto"/>
            <w:left w:val="none" w:sz="0" w:space="0" w:color="auto"/>
            <w:bottom w:val="none" w:sz="0" w:space="0" w:color="auto"/>
            <w:right w:val="none" w:sz="0" w:space="0" w:color="auto"/>
          </w:divBdr>
        </w:div>
        <w:div w:id="429350744">
          <w:marLeft w:val="0"/>
          <w:marRight w:val="0"/>
          <w:marTop w:val="0"/>
          <w:marBottom w:val="0"/>
          <w:divBdr>
            <w:top w:val="none" w:sz="0" w:space="0" w:color="auto"/>
            <w:left w:val="none" w:sz="0" w:space="0" w:color="auto"/>
            <w:bottom w:val="none" w:sz="0" w:space="0" w:color="auto"/>
            <w:right w:val="none" w:sz="0" w:space="0" w:color="auto"/>
          </w:divBdr>
        </w:div>
        <w:div w:id="734858347">
          <w:marLeft w:val="0"/>
          <w:marRight w:val="0"/>
          <w:marTop w:val="0"/>
          <w:marBottom w:val="0"/>
          <w:divBdr>
            <w:top w:val="none" w:sz="0" w:space="0" w:color="auto"/>
            <w:left w:val="none" w:sz="0" w:space="0" w:color="auto"/>
            <w:bottom w:val="none" w:sz="0" w:space="0" w:color="auto"/>
            <w:right w:val="none" w:sz="0" w:space="0" w:color="auto"/>
          </w:divBdr>
        </w:div>
        <w:div w:id="982079244">
          <w:marLeft w:val="0"/>
          <w:marRight w:val="0"/>
          <w:marTop w:val="0"/>
          <w:marBottom w:val="0"/>
          <w:divBdr>
            <w:top w:val="none" w:sz="0" w:space="0" w:color="auto"/>
            <w:left w:val="none" w:sz="0" w:space="0" w:color="auto"/>
            <w:bottom w:val="none" w:sz="0" w:space="0" w:color="auto"/>
            <w:right w:val="none" w:sz="0" w:space="0" w:color="auto"/>
          </w:divBdr>
        </w:div>
        <w:div w:id="1200892545">
          <w:marLeft w:val="0"/>
          <w:marRight w:val="0"/>
          <w:marTop w:val="0"/>
          <w:marBottom w:val="0"/>
          <w:divBdr>
            <w:top w:val="none" w:sz="0" w:space="0" w:color="auto"/>
            <w:left w:val="none" w:sz="0" w:space="0" w:color="auto"/>
            <w:bottom w:val="none" w:sz="0" w:space="0" w:color="auto"/>
            <w:right w:val="none" w:sz="0" w:space="0" w:color="auto"/>
          </w:divBdr>
        </w:div>
        <w:div w:id="1256208413">
          <w:marLeft w:val="0"/>
          <w:marRight w:val="0"/>
          <w:marTop w:val="0"/>
          <w:marBottom w:val="0"/>
          <w:divBdr>
            <w:top w:val="none" w:sz="0" w:space="0" w:color="auto"/>
            <w:left w:val="none" w:sz="0" w:space="0" w:color="auto"/>
            <w:bottom w:val="none" w:sz="0" w:space="0" w:color="auto"/>
            <w:right w:val="none" w:sz="0" w:space="0" w:color="auto"/>
          </w:divBdr>
        </w:div>
        <w:div w:id="1278756613">
          <w:marLeft w:val="0"/>
          <w:marRight w:val="0"/>
          <w:marTop w:val="0"/>
          <w:marBottom w:val="0"/>
          <w:divBdr>
            <w:top w:val="none" w:sz="0" w:space="0" w:color="auto"/>
            <w:left w:val="none" w:sz="0" w:space="0" w:color="auto"/>
            <w:bottom w:val="none" w:sz="0" w:space="0" w:color="auto"/>
            <w:right w:val="none" w:sz="0" w:space="0" w:color="auto"/>
          </w:divBdr>
        </w:div>
        <w:div w:id="1342121958">
          <w:marLeft w:val="0"/>
          <w:marRight w:val="0"/>
          <w:marTop w:val="0"/>
          <w:marBottom w:val="0"/>
          <w:divBdr>
            <w:top w:val="none" w:sz="0" w:space="0" w:color="auto"/>
            <w:left w:val="none" w:sz="0" w:space="0" w:color="auto"/>
            <w:bottom w:val="none" w:sz="0" w:space="0" w:color="auto"/>
            <w:right w:val="none" w:sz="0" w:space="0" w:color="auto"/>
          </w:divBdr>
        </w:div>
        <w:div w:id="1371683277">
          <w:marLeft w:val="0"/>
          <w:marRight w:val="0"/>
          <w:marTop w:val="0"/>
          <w:marBottom w:val="0"/>
          <w:divBdr>
            <w:top w:val="none" w:sz="0" w:space="0" w:color="auto"/>
            <w:left w:val="none" w:sz="0" w:space="0" w:color="auto"/>
            <w:bottom w:val="none" w:sz="0" w:space="0" w:color="auto"/>
            <w:right w:val="none" w:sz="0" w:space="0" w:color="auto"/>
          </w:divBdr>
        </w:div>
        <w:div w:id="1702167973">
          <w:marLeft w:val="0"/>
          <w:marRight w:val="0"/>
          <w:marTop w:val="0"/>
          <w:marBottom w:val="0"/>
          <w:divBdr>
            <w:top w:val="none" w:sz="0" w:space="0" w:color="auto"/>
            <w:left w:val="none" w:sz="0" w:space="0" w:color="auto"/>
            <w:bottom w:val="none" w:sz="0" w:space="0" w:color="auto"/>
            <w:right w:val="none" w:sz="0" w:space="0" w:color="auto"/>
          </w:divBdr>
        </w:div>
        <w:div w:id="1708795985">
          <w:marLeft w:val="0"/>
          <w:marRight w:val="0"/>
          <w:marTop w:val="0"/>
          <w:marBottom w:val="0"/>
          <w:divBdr>
            <w:top w:val="none" w:sz="0" w:space="0" w:color="auto"/>
            <w:left w:val="none" w:sz="0" w:space="0" w:color="auto"/>
            <w:bottom w:val="none" w:sz="0" w:space="0" w:color="auto"/>
            <w:right w:val="none" w:sz="0" w:space="0" w:color="auto"/>
          </w:divBdr>
        </w:div>
        <w:div w:id="1926962360">
          <w:marLeft w:val="0"/>
          <w:marRight w:val="0"/>
          <w:marTop w:val="0"/>
          <w:marBottom w:val="0"/>
          <w:divBdr>
            <w:top w:val="none" w:sz="0" w:space="0" w:color="auto"/>
            <w:left w:val="none" w:sz="0" w:space="0" w:color="auto"/>
            <w:bottom w:val="none" w:sz="0" w:space="0" w:color="auto"/>
            <w:right w:val="none" w:sz="0" w:space="0" w:color="auto"/>
          </w:divBdr>
        </w:div>
      </w:divsChild>
    </w:div>
    <w:div w:id="1756241458">
      <w:bodyDiv w:val="1"/>
      <w:marLeft w:val="0"/>
      <w:marRight w:val="0"/>
      <w:marTop w:val="0"/>
      <w:marBottom w:val="0"/>
      <w:divBdr>
        <w:top w:val="none" w:sz="0" w:space="0" w:color="auto"/>
        <w:left w:val="none" w:sz="0" w:space="0" w:color="auto"/>
        <w:bottom w:val="none" w:sz="0" w:space="0" w:color="auto"/>
        <w:right w:val="none" w:sz="0" w:space="0" w:color="auto"/>
      </w:divBdr>
    </w:div>
    <w:div w:id="1765103415">
      <w:bodyDiv w:val="1"/>
      <w:marLeft w:val="0"/>
      <w:marRight w:val="0"/>
      <w:marTop w:val="0"/>
      <w:marBottom w:val="0"/>
      <w:divBdr>
        <w:top w:val="none" w:sz="0" w:space="0" w:color="auto"/>
        <w:left w:val="none" w:sz="0" w:space="0" w:color="auto"/>
        <w:bottom w:val="none" w:sz="0" w:space="0" w:color="auto"/>
        <w:right w:val="none" w:sz="0" w:space="0" w:color="auto"/>
      </w:divBdr>
    </w:div>
    <w:div w:id="1902860759">
      <w:bodyDiv w:val="1"/>
      <w:marLeft w:val="0"/>
      <w:marRight w:val="0"/>
      <w:marTop w:val="0"/>
      <w:marBottom w:val="0"/>
      <w:divBdr>
        <w:top w:val="none" w:sz="0" w:space="0" w:color="auto"/>
        <w:left w:val="none" w:sz="0" w:space="0" w:color="auto"/>
        <w:bottom w:val="none" w:sz="0" w:space="0" w:color="auto"/>
        <w:right w:val="none" w:sz="0" w:space="0" w:color="auto"/>
      </w:divBdr>
    </w:div>
    <w:div w:id="1933590354">
      <w:bodyDiv w:val="1"/>
      <w:marLeft w:val="0"/>
      <w:marRight w:val="0"/>
      <w:marTop w:val="0"/>
      <w:marBottom w:val="0"/>
      <w:divBdr>
        <w:top w:val="none" w:sz="0" w:space="0" w:color="auto"/>
        <w:left w:val="none" w:sz="0" w:space="0" w:color="auto"/>
        <w:bottom w:val="none" w:sz="0" w:space="0" w:color="auto"/>
        <w:right w:val="none" w:sz="0" w:space="0" w:color="auto"/>
      </w:divBdr>
    </w:div>
    <w:div w:id="1962690947">
      <w:bodyDiv w:val="1"/>
      <w:marLeft w:val="0"/>
      <w:marRight w:val="0"/>
      <w:marTop w:val="0"/>
      <w:marBottom w:val="0"/>
      <w:divBdr>
        <w:top w:val="none" w:sz="0" w:space="0" w:color="auto"/>
        <w:left w:val="none" w:sz="0" w:space="0" w:color="auto"/>
        <w:bottom w:val="none" w:sz="0" w:space="0" w:color="auto"/>
        <w:right w:val="none" w:sz="0" w:space="0" w:color="auto"/>
      </w:divBdr>
    </w:div>
    <w:div w:id="2050645016">
      <w:bodyDiv w:val="1"/>
      <w:marLeft w:val="0"/>
      <w:marRight w:val="0"/>
      <w:marTop w:val="0"/>
      <w:marBottom w:val="0"/>
      <w:divBdr>
        <w:top w:val="none" w:sz="0" w:space="0" w:color="auto"/>
        <w:left w:val="none" w:sz="0" w:space="0" w:color="auto"/>
        <w:bottom w:val="none" w:sz="0" w:space="0" w:color="auto"/>
        <w:right w:val="none" w:sz="0" w:space="0" w:color="auto"/>
      </w:divBdr>
    </w:div>
    <w:div w:id="2069497506">
      <w:bodyDiv w:val="1"/>
      <w:marLeft w:val="0"/>
      <w:marRight w:val="0"/>
      <w:marTop w:val="0"/>
      <w:marBottom w:val="0"/>
      <w:divBdr>
        <w:top w:val="none" w:sz="0" w:space="0" w:color="auto"/>
        <w:left w:val="none" w:sz="0" w:space="0" w:color="auto"/>
        <w:bottom w:val="none" w:sz="0" w:space="0" w:color="auto"/>
        <w:right w:val="none" w:sz="0" w:space="0" w:color="auto"/>
      </w:divBdr>
    </w:div>
    <w:div w:id="2100904180">
      <w:bodyDiv w:val="1"/>
      <w:marLeft w:val="0"/>
      <w:marRight w:val="0"/>
      <w:marTop w:val="0"/>
      <w:marBottom w:val="0"/>
      <w:divBdr>
        <w:top w:val="none" w:sz="0" w:space="0" w:color="auto"/>
        <w:left w:val="none" w:sz="0" w:space="0" w:color="auto"/>
        <w:bottom w:val="none" w:sz="0" w:space="0" w:color="auto"/>
        <w:right w:val="none" w:sz="0" w:space="0" w:color="auto"/>
      </w:divBdr>
    </w:div>
    <w:div w:id="210457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hltd.com/news-media/press-releases/detail/455/norwegian-cruise-line-holdings-ltd-completes-strategic"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nvestorRelations@nclcorp.com"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hltd.com/Health-and-Safety"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s://www.nclhltd.com/inves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1io3yog0oux5.cloudfront.net/_69f76c76201983ea9c256895be096b53/nclhltd/db/1086/11206/pdf/NCLH+Balance+Sheet+Optimization+Investor+Presentation_Nov+2021_Final.pdf"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90EF-A0D3-40B6-80C2-7D1538EE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5434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Andrea</dc:creator>
  <cp:keywords/>
  <dc:description/>
  <cp:lastModifiedBy>Carolina García</cp:lastModifiedBy>
  <cp:revision>2</cp:revision>
  <cp:lastPrinted>2021-11-02T21:05:00Z</cp:lastPrinted>
  <dcterms:created xsi:type="dcterms:W3CDTF">2022-02-22T20:19:00Z</dcterms:created>
  <dcterms:modified xsi:type="dcterms:W3CDTF">2022-02-24T16:40:00Z</dcterms:modified>
</cp:coreProperties>
</file>